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DBA4D" w14:textId="77777777" w:rsidR="001C6DCD" w:rsidRDefault="001C6DCD">
      <w:pPr>
        <w:rPr>
          <w:lang w:val="en-US"/>
        </w:rPr>
      </w:pPr>
    </w:p>
    <w:p w14:paraId="5C57A535" w14:textId="77777777" w:rsidR="001C6DCD" w:rsidRDefault="001C6DCD">
      <w:pPr>
        <w:rPr>
          <w:lang w:val="en-US"/>
        </w:rPr>
      </w:pPr>
    </w:p>
    <w:p w14:paraId="5BE3FDF0" w14:textId="77777777" w:rsidR="001C6DCD" w:rsidRDefault="001C6DCD">
      <w:pPr>
        <w:rPr>
          <w:lang w:val="en-US"/>
        </w:rPr>
      </w:pPr>
    </w:p>
    <w:p w14:paraId="777D5A7C" w14:textId="77777777" w:rsidR="001C6DCD" w:rsidRDefault="001C6DCD">
      <w:pPr>
        <w:rPr>
          <w:lang w:val="en-US"/>
        </w:rPr>
      </w:pPr>
    </w:p>
    <w:p w14:paraId="2834F7E1" w14:textId="77777777" w:rsidR="001C6DCD" w:rsidRDefault="001C6DCD">
      <w:pPr>
        <w:rPr>
          <w:lang w:val="en-US"/>
        </w:rPr>
      </w:pPr>
    </w:p>
    <w:p w14:paraId="5606A3A8" w14:textId="77777777" w:rsidR="001C6DCD" w:rsidRDefault="001C6DCD">
      <w:pPr>
        <w:rPr>
          <w:lang w:val="en-US"/>
        </w:rPr>
      </w:pPr>
    </w:p>
    <w:p w14:paraId="2DB6EB6F" w14:textId="77777777" w:rsidR="001C6DCD" w:rsidRDefault="001C6DCD">
      <w:pPr>
        <w:rPr>
          <w:lang w:val="en-US"/>
        </w:rPr>
      </w:pPr>
    </w:p>
    <w:p w14:paraId="159A421F" w14:textId="77777777" w:rsidR="001C6DCD" w:rsidRDefault="001C6DCD">
      <w:pPr>
        <w:rPr>
          <w:lang w:val="en-US"/>
        </w:rPr>
      </w:pPr>
    </w:p>
    <w:p w14:paraId="1A5B0E77" w14:textId="77777777" w:rsidR="001C6DCD" w:rsidRDefault="001C6DCD">
      <w:pPr>
        <w:rPr>
          <w:lang w:val="en-US"/>
        </w:rPr>
      </w:pPr>
    </w:p>
    <w:p w14:paraId="5AD03116" w14:textId="325C5207" w:rsidR="001C6DCD" w:rsidRDefault="001C6DCD">
      <w:pPr>
        <w:rPr>
          <w:lang w:val="en-US"/>
        </w:rPr>
      </w:pPr>
    </w:p>
    <w:p w14:paraId="1AC3B6C1" w14:textId="77777777" w:rsidR="001C6DCD" w:rsidRDefault="001C6DCD">
      <w:pPr>
        <w:rPr>
          <w:lang w:val="en-US"/>
        </w:rPr>
      </w:pPr>
    </w:p>
    <w:p w14:paraId="6A561712" w14:textId="77777777" w:rsidR="001C6DCD" w:rsidRDefault="001C6DCD">
      <w:pPr>
        <w:rPr>
          <w:lang w:val="en-US"/>
        </w:rPr>
      </w:pPr>
    </w:p>
    <w:p w14:paraId="74E57CDB" w14:textId="77777777" w:rsidR="001C6DCD" w:rsidRDefault="001C6DCD">
      <w:pPr>
        <w:rPr>
          <w:lang w:val="en-US"/>
        </w:rPr>
      </w:pPr>
    </w:p>
    <w:p w14:paraId="7D8176C3" w14:textId="0775B7DB" w:rsidR="001C6DCD" w:rsidRDefault="009B4AB3" w:rsidP="001C6DCD">
      <w:pPr>
        <w:jc w:val="center"/>
        <w:rPr>
          <w:lang w:val="en-US"/>
        </w:rPr>
      </w:pPr>
      <w:r w:rsidRPr="001C6DCD">
        <w:rPr>
          <w:lang w:val="en-US"/>
        </w:rPr>
        <w:t>Kip Kinkel Forensic Risk Assessment</w:t>
      </w:r>
    </w:p>
    <w:p w14:paraId="7E44D667" w14:textId="077E7AB9" w:rsidR="001C6DCD" w:rsidRDefault="009B4AB3" w:rsidP="001C6DCD">
      <w:pPr>
        <w:jc w:val="center"/>
        <w:rPr>
          <w:lang w:val="en-US"/>
        </w:rPr>
      </w:pPr>
      <w:r>
        <w:rPr>
          <w:lang w:val="en-US"/>
        </w:rPr>
        <w:t>Name</w:t>
      </w:r>
    </w:p>
    <w:p w14:paraId="6BA9D833" w14:textId="41C80B0A" w:rsidR="001C6DCD" w:rsidRDefault="009B4AB3" w:rsidP="001C6DCD">
      <w:pPr>
        <w:jc w:val="center"/>
        <w:rPr>
          <w:lang w:val="en-US"/>
        </w:rPr>
      </w:pPr>
      <w:r>
        <w:rPr>
          <w:lang w:val="en-US"/>
        </w:rPr>
        <w:t>Institution</w:t>
      </w:r>
    </w:p>
    <w:p w14:paraId="631B1B4C" w14:textId="77777777" w:rsidR="001C6DCD" w:rsidRDefault="001C6DCD">
      <w:pPr>
        <w:rPr>
          <w:lang w:val="en-US"/>
        </w:rPr>
      </w:pPr>
    </w:p>
    <w:p w14:paraId="040C0B22" w14:textId="6146C647" w:rsidR="001C6DCD" w:rsidRDefault="001C6DCD">
      <w:pPr>
        <w:rPr>
          <w:lang w:val="en-US"/>
        </w:rPr>
      </w:pPr>
    </w:p>
    <w:p w14:paraId="73318C86" w14:textId="4EE8DEC0" w:rsidR="001C6DCD" w:rsidRDefault="001C6DCD">
      <w:pPr>
        <w:rPr>
          <w:lang w:val="en-US"/>
        </w:rPr>
      </w:pPr>
    </w:p>
    <w:p w14:paraId="56B63F25" w14:textId="28A14EA7" w:rsidR="001C6DCD" w:rsidRDefault="001C6DCD">
      <w:pPr>
        <w:rPr>
          <w:lang w:val="en-US"/>
        </w:rPr>
      </w:pPr>
    </w:p>
    <w:p w14:paraId="4F5318D6" w14:textId="41EC9E1D" w:rsidR="001C6DCD" w:rsidRDefault="001C6DCD">
      <w:pPr>
        <w:rPr>
          <w:lang w:val="en-US"/>
        </w:rPr>
      </w:pPr>
    </w:p>
    <w:p w14:paraId="2D7A863E" w14:textId="507CCBD8" w:rsidR="001C6DCD" w:rsidRDefault="001C6DCD">
      <w:pPr>
        <w:rPr>
          <w:lang w:val="en-US"/>
        </w:rPr>
      </w:pPr>
    </w:p>
    <w:p w14:paraId="5EA4F6B5" w14:textId="79996467" w:rsidR="001C6DCD" w:rsidRDefault="001C6DCD">
      <w:pPr>
        <w:rPr>
          <w:lang w:val="en-US"/>
        </w:rPr>
      </w:pPr>
    </w:p>
    <w:p w14:paraId="0CADBDC8" w14:textId="0056469A" w:rsidR="001C6DCD" w:rsidRDefault="001C6DCD">
      <w:pPr>
        <w:rPr>
          <w:lang w:val="en-US"/>
        </w:rPr>
      </w:pPr>
    </w:p>
    <w:p w14:paraId="08DF241E" w14:textId="73793FC7" w:rsidR="001C6DCD" w:rsidRDefault="001C6DCD">
      <w:pPr>
        <w:rPr>
          <w:lang w:val="en-US"/>
        </w:rPr>
      </w:pPr>
    </w:p>
    <w:p w14:paraId="0D90BC4F" w14:textId="0494D32F" w:rsidR="001C6DCD" w:rsidRDefault="001C6DCD">
      <w:pPr>
        <w:rPr>
          <w:lang w:val="en-US"/>
        </w:rPr>
      </w:pPr>
    </w:p>
    <w:p w14:paraId="5C765331" w14:textId="42626394" w:rsidR="001C6DCD" w:rsidRDefault="001C6DCD">
      <w:pPr>
        <w:rPr>
          <w:lang w:val="en-US"/>
        </w:rPr>
      </w:pPr>
    </w:p>
    <w:p w14:paraId="53930A5E" w14:textId="4B019DAD" w:rsidR="001C6DCD" w:rsidRDefault="001C6DCD">
      <w:pPr>
        <w:rPr>
          <w:lang w:val="en-US"/>
        </w:rPr>
      </w:pPr>
    </w:p>
    <w:p w14:paraId="180AD469" w14:textId="77777777" w:rsidR="001C6DCD" w:rsidRDefault="001C6DCD">
      <w:pPr>
        <w:rPr>
          <w:lang w:val="en-US"/>
        </w:rPr>
      </w:pPr>
    </w:p>
    <w:p w14:paraId="5D8F3F35" w14:textId="00ED9700" w:rsidR="001C6DCD" w:rsidRDefault="009B4AB3">
      <w:pPr>
        <w:rPr>
          <w:lang w:val="en-US"/>
        </w:rPr>
      </w:pPr>
      <w:r>
        <w:rPr>
          <w:lang w:val="en-US"/>
        </w:rPr>
        <w:t xml:space="preserve"> </w:t>
      </w:r>
    </w:p>
    <w:p w14:paraId="245CA98E" w14:textId="5D13D996" w:rsidR="00452D83" w:rsidRDefault="009B4AB3" w:rsidP="006D48B6">
      <w:pPr>
        <w:spacing w:line="480" w:lineRule="auto"/>
        <w:ind w:firstLine="720"/>
        <w:jc w:val="both"/>
        <w:rPr>
          <w:lang w:val="en-US"/>
        </w:rPr>
      </w:pPr>
      <w:r>
        <w:rPr>
          <w:lang w:val="en-US"/>
        </w:rPr>
        <w:lastRenderedPageBreak/>
        <w:t>The forensic assessment provides focus on essential elements which help in defining better outcomes which help in defining significant changes which help in understanding the decisions taken by individuals. Therefore the integration of risk assessment takes into focus specific elements which help define better changes which can help in maintaining a strong emphasis on critical changes that define a better environment where it is possible to understand individual thought process and factors that are likely to influence their mental development. The focus on juvenile mass shooters, in this case, provide a greater understanding of important changes which can help maintain focus on the underlying issues which define positive outcomes.  Therefore this paper will prov</w:t>
      </w:r>
      <w:r w:rsidR="0097635B">
        <w:rPr>
          <w:lang w:val="en-US"/>
        </w:rPr>
        <w:t>i</w:t>
      </w:r>
      <w:r>
        <w:rPr>
          <w:lang w:val="en-US"/>
        </w:rPr>
        <w:t xml:space="preserve">de a critical review on the </w:t>
      </w:r>
      <w:r w:rsidRPr="009F3006">
        <w:rPr>
          <w:lang w:val="en-US"/>
        </w:rPr>
        <w:t>Thurston High School shooting</w:t>
      </w:r>
      <w:r>
        <w:rPr>
          <w:lang w:val="en-US"/>
        </w:rPr>
        <w:t xml:space="preserve"> which was perpetrated by Kipland Kinkel. The analysis will focus on </w:t>
      </w:r>
      <w:r w:rsidR="0097635B">
        <w:rPr>
          <w:lang w:val="en-US"/>
        </w:rPr>
        <w:t>a forensic</w:t>
      </w:r>
      <w:r>
        <w:rPr>
          <w:lang w:val="en-US"/>
        </w:rPr>
        <w:t xml:space="preserve"> point of view with the identification of essential measures which help in understanding the changes within the criminal justice </w:t>
      </w:r>
      <w:r w:rsidR="0097635B">
        <w:rPr>
          <w:lang w:val="en-US"/>
        </w:rPr>
        <w:t>context</w:t>
      </w:r>
      <w:r>
        <w:rPr>
          <w:lang w:val="en-US"/>
        </w:rPr>
        <w:t>.</w:t>
      </w:r>
      <w:r w:rsidR="0097635B">
        <w:rPr>
          <w:lang w:val="en-US"/>
        </w:rPr>
        <w:t xml:space="preserve"> The assessment of forensic risk assessment factors will be based on South Carolina laws. </w:t>
      </w:r>
    </w:p>
    <w:p w14:paraId="22D6F81B" w14:textId="26AE1EF8" w:rsidR="0097635B" w:rsidRDefault="009B4AB3" w:rsidP="006D48B6">
      <w:pPr>
        <w:spacing w:line="480" w:lineRule="auto"/>
        <w:ind w:firstLine="720"/>
        <w:jc w:val="both"/>
        <w:rPr>
          <w:lang w:val="en-US"/>
        </w:rPr>
      </w:pPr>
      <w:r>
        <w:rPr>
          <w:lang w:val="en-US"/>
        </w:rPr>
        <w:t xml:space="preserve">Background of the </w:t>
      </w:r>
      <w:r w:rsidRPr="0097635B">
        <w:rPr>
          <w:lang w:val="en-US"/>
        </w:rPr>
        <w:t>Thurston High School shooting</w:t>
      </w:r>
    </w:p>
    <w:p w14:paraId="6C331B16" w14:textId="70454689" w:rsidR="009F3006" w:rsidRDefault="009B4AB3" w:rsidP="006D48B6">
      <w:pPr>
        <w:spacing w:line="480" w:lineRule="auto"/>
        <w:ind w:firstLine="720"/>
        <w:jc w:val="both"/>
        <w:rPr>
          <w:lang w:val="en-US"/>
        </w:rPr>
      </w:pPr>
      <w:r>
        <w:rPr>
          <w:lang w:val="en-US"/>
        </w:rPr>
        <w:t xml:space="preserve">Kinkel was 25 years old at the time he was suspended pending an expulsion hearing from the </w:t>
      </w:r>
      <w:r w:rsidR="00407D84">
        <w:rPr>
          <w:lang w:val="en-US"/>
        </w:rPr>
        <w:t>Thurston</w:t>
      </w:r>
      <w:r>
        <w:rPr>
          <w:lang w:val="en-US"/>
        </w:rPr>
        <w:t xml:space="preserve"> high school for being in possession of a </w:t>
      </w:r>
      <w:r w:rsidR="00407D84">
        <w:rPr>
          <w:lang w:val="en-US"/>
        </w:rPr>
        <w:t>loaded</w:t>
      </w:r>
      <w:r>
        <w:rPr>
          <w:lang w:val="en-US"/>
        </w:rPr>
        <w:t xml:space="preserve"> stolen gun. The gun had been taken from the father of one of Kinkel's friend. Kinkel purchased the gun for $110 which he placed in his locker. After his suspension, Kinkel's father mentioned to him that he considered taking him to a military school if he was unable to change his behavior which was becoming a major societal concern. </w:t>
      </w:r>
      <w:r w:rsidR="00501A49">
        <w:rPr>
          <w:lang w:val="en-US"/>
        </w:rPr>
        <w:t xml:space="preserve"> Kinkel was not impressed by this decision and got very angry. While his father was in the kitchen </w:t>
      </w:r>
      <w:r w:rsidR="00407D84">
        <w:rPr>
          <w:lang w:val="en-US"/>
        </w:rPr>
        <w:t>drinking</w:t>
      </w:r>
      <w:r w:rsidR="00501A49">
        <w:rPr>
          <w:lang w:val="en-US"/>
        </w:rPr>
        <w:t xml:space="preserve"> coffee, he, took his father's gun from the bedroom and shot him in the head. He met his mother while she was coming back at home and said that she loved her before shooting and killing her</w:t>
      </w:r>
      <w:r w:rsidR="000A6111">
        <w:rPr>
          <w:lang w:val="en-US"/>
        </w:rPr>
        <w:t xml:space="preserve"> </w:t>
      </w:r>
      <w:r w:rsidR="000A6111">
        <w:rPr>
          <w:lang w:val="en-US"/>
        </w:rPr>
        <w:fldChar w:fldCharType="begin" w:fldLock="1"/>
      </w:r>
      <w:r w:rsidR="00235E7A">
        <w:rPr>
          <w:lang w:val="en-US"/>
        </w:rPr>
        <w:instrText>ADDIN CSL_CITATION {"citationItems":[{"id":"ITEM-1","itemData":{"DOI":"10.1080/14999013.2014.906518","ISBN":"1499-9013","ISSN":"19329903","PMID":"17054290","abstract":"In this article, the applicability of the recently published HCR-20V3 for violence risk assessment in forensic psychiatric practice is discussed. This revision of the HCR-20 is the result of a multi-year development process based on worldwide empirical research, clinical expertise and consultation. Recently, the HCR-20V3 was implemented in Dutch forensic psychiatric practice by a research team that was also involved in beta-testing and pilot research into the interrater reliability and predictive validity of the first HCR-20V3 Draft version. This paper presents results of this beta-testing and the pilot study, as well as results from a recently conducted survey into the clinical value and applicability of the Dutch HCR-20V3. Overall, the results demonstrate that the HCR-20V3 is a promising revision with sound psychometric properties and improvements compared to the prior version of the HCR-20 for violence risk assessment and management. Furthermore, the first impressions of 192 workshop participants about the HCR-20V3 were positive. To illustrate the applicability of the HCR-20V3 for risk assessment and management in forensic clinical practice, a detailed forensic case study is presented. (PsycINFO Database Record (c) 2014 APA, all rights reserved)(journal abstract)","author":[{"dropping-particle":"","family":"Vogel","given":"Vivienne","non-dropping-particle":"de","parse-names":false,"suffix":""},{"dropping-particle":"","family":"Broek","given":"Ellen","non-dropping-particle":"van den","parse-names":false,"suffix":""},{"dropping-particle":"","family":"Vries Robbé","given":"Michiel","non-dropping-particle":"de","parse-names":false,"suffix":""}],"container-title":"International Journal of Forensic Mental Health","id":"ITEM-1","issued":{"date-parts":[["2014"]]},"title":"The Use of the HCR-20V3 in Dutch Forensic Psychiatric Practice","type":"article-journal"},"uris":["http://www.mendeley.com/documents/?uuid=0e111c01-4c84-48b3-85aa-62d39f4b8c7d","http://www.mendeley.com/documents/?uuid=4e087e1b-5685-4923-927c-500f52fd54b0"]}],"mendeley":{"formattedCitation":"(de Vogel, van den Broek, &amp; de Vries Robbé, 2014)","plainTextFormattedCitation":"(de Vogel, van den Broek, &amp; de Vries Robbé, 2014)","previouslyFormattedCitation":"(de Vogel, van den Broek, &amp; de Vries Robbé, 2014)"},"properties":{"noteIndex":0},"schema":"https://github.com/citation-style-language/schema/raw/master/csl-citation.json"}</w:instrText>
      </w:r>
      <w:r w:rsidR="000A6111">
        <w:rPr>
          <w:lang w:val="en-US"/>
        </w:rPr>
        <w:fldChar w:fldCharType="separate"/>
      </w:r>
      <w:r w:rsidR="000A6111" w:rsidRPr="000A6111">
        <w:rPr>
          <w:noProof/>
          <w:lang w:val="en-US"/>
        </w:rPr>
        <w:t>(de Vogel, van den Broek, &amp; de Vries Robbé, 2014)</w:t>
      </w:r>
      <w:r w:rsidR="000A6111">
        <w:rPr>
          <w:lang w:val="en-US"/>
        </w:rPr>
        <w:fldChar w:fldCharType="end"/>
      </w:r>
      <w:r w:rsidR="00501A49">
        <w:rPr>
          <w:lang w:val="en-US"/>
        </w:rPr>
        <w:t xml:space="preserve">. </w:t>
      </w:r>
    </w:p>
    <w:p w14:paraId="5534869F" w14:textId="53C3D5E5" w:rsidR="00501A49" w:rsidRDefault="009B4AB3" w:rsidP="006D48B6">
      <w:pPr>
        <w:spacing w:line="480" w:lineRule="auto"/>
        <w:ind w:firstLine="720"/>
        <w:jc w:val="both"/>
        <w:rPr>
          <w:lang w:val="en-US"/>
        </w:rPr>
      </w:pPr>
      <w:r>
        <w:rPr>
          <w:lang w:val="en-US"/>
        </w:rPr>
        <w:lastRenderedPageBreak/>
        <w:t xml:space="preserve">However, in a note that was found by the police, he asserts that his motive for killing his parents was the fact that they would be unable to live with his two felonies while also highlighting that he mind was not working right because of the many voices that he heard in his head. It is quite evident that Kinkel had mental issues which his parents had failed to identify and thus he deeply hurt especially considering the voices in his head which directed him on what to do. Kinkel asserted that he had to kill people and did not have an option yet he did not know why he </w:t>
      </w:r>
      <w:r w:rsidR="00407D84">
        <w:rPr>
          <w:lang w:val="en-US"/>
        </w:rPr>
        <w:t>had</w:t>
      </w:r>
      <w:r>
        <w:rPr>
          <w:lang w:val="en-US"/>
        </w:rPr>
        <w:t xml:space="preserve"> to shoot. </w:t>
      </w:r>
    </w:p>
    <w:p w14:paraId="40159822" w14:textId="4DECA72A" w:rsidR="00501A49" w:rsidRDefault="009B4AB3" w:rsidP="006D48B6">
      <w:pPr>
        <w:spacing w:line="480" w:lineRule="auto"/>
        <w:ind w:firstLine="720"/>
        <w:jc w:val="both"/>
        <w:rPr>
          <w:lang w:val="en-US"/>
        </w:rPr>
      </w:pPr>
      <w:r>
        <w:rPr>
          <w:lang w:val="en-US"/>
        </w:rPr>
        <w:t xml:space="preserve">He drove his mother’s Ford to </w:t>
      </w:r>
      <w:r w:rsidR="00407D84">
        <w:rPr>
          <w:lang w:val="en-US"/>
        </w:rPr>
        <w:t>Thurston</w:t>
      </w:r>
      <w:r>
        <w:rPr>
          <w:lang w:val="en-US"/>
        </w:rPr>
        <w:t xml:space="preserve"> High school carrying two hunting knives,  a rifle, two pistols </w:t>
      </w:r>
      <w:r w:rsidR="00407D84">
        <w:rPr>
          <w:lang w:val="en-US"/>
        </w:rPr>
        <w:t>and</w:t>
      </w:r>
      <w:r>
        <w:rPr>
          <w:lang w:val="en-US"/>
        </w:rPr>
        <w:t xml:space="preserve"> a total of 1,127 rounds of ammunition. Kinkel fired</w:t>
      </w:r>
      <w:r w:rsidR="00D90BE3">
        <w:rPr>
          <w:lang w:val="en-US"/>
        </w:rPr>
        <w:t xml:space="preserve"> a total of 50 round which fatally wounded two students while additional 34 suffered serious gunshot injuries. When his rifle ran out of ammunition, and he began to reload, he was attacked by Jacob Ryker who with the help of other six students subdued him. Kinkel was yelling that he be killed. Once he was arrested in </w:t>
      </w:r>
      <w:r w:rsidR="00407D84">
        <w:rPr>
          <w:lang w:val="en-US"/>
        </w:rPr>
        <w:t>custody,</w:t>
      </w:r>
      <w:r w:rsidR="00D90BE3">
        <w:rPr>
          <w:lang w:val="en-US"/>
        </w:rPr>
        <w:t xml:space="preserve"> he </w:t>
      </w:r>
      <w:r w:rsidR="00407D84">
        <w:rPr>
          <w:lang w:val="en-US"/>
        </w:rPr>
        <w:t>retrieved</w:t>
      </w:r>
      <w:r w:rsidR="00D90BE3">
        <w:rPr>
          <w:lang w:val="en-US"/>
        </w:rPr>
        <w:t xml:space="preserve"> a </w:t>
      </w:r>
      <w:r w:rsidR="00407D84">
        <w:rPr>
          <w:lang w:val="en-US"/>
        </w:rPr>
        <w:t>knife</w:t>
      </w:r>
      <w:r w:rsidR="00D90BE3">
        <w:rPr>
          <w:lang w:val="en-US"/>
        </w:rPr>
        <w:t xml:space="preserve"> that he </w:t>
      </w:r>
      <w:r w:rsidR="00407D84">
        <w:rPr>
          <w:lang w:val="en-US"/>
        </w:rPr>
        <w:t>had</w:t>
      </w:r>
      <w:r w:rsidR="00D90BE3">
        <w:rPr>
          <w:lang w:val="en-US"/>
        </w:rPr>
        <w:t xml:space="preserve"> hid it in his leg and attacked a police officer while begging to be fatally shot</w:t>
      </w:r>
      <w:r w:rsidR="000A6111">
        <w:rPr>
          <w:lang w:val="en-US"/>
        </w:rPr>
        <w:t xml:space="preserve"> </w:t>
      </w:r>
      <w:r w:rsidR="00235E7A">
        <w:rPr>
          <w:lang w:val="en-US"/>
        </w:rPr>
        <w:fldChar w:fldCharType="begin" w:fldLock="1"/>
      </w:r>
      <w:r w:rsidR="00235E7A">
        <w:rPr>
          <w:lang w:val="en-US"/>
        </w:rPr>
        <w:instrText>ADDIN CSL_CITATION {"citationItems":[{"id":"ITEM-1","itemData":{"DOI":"10.1037/lhb0000179","ISBN":"1573-661X(Electronic);0147-7307(Print)","ISSN":"01477307","PMID":"26828708","abstract":"The present study examined risk for inpatient aggression, including treatment-related changes in risk, using a battery of 5 forensic instruments. The relative contributions of different types of risk factors to the assessment of risk for inpatient outcomes were also assessed. The Historical-Clinical-Risk Management-20V3, Short-Term Assessment of Risk and Treatability, Violence Risk Scale, Violence Risk Appraisal Guide–Revised, and Psychopathy Checklist–Revised were rated from archival information sources on a sample of 99 adult forensic inpatients from a Canadian psychiatric hospital. Pretreatment and posttreatment ratings were obtained on all dynamic study measures; associations between risk and change ratings with inpatient aggression were examined. Significant pretreatment-posttreatment differ- ences were found on the HCR-20V3, START, and VRS; pretreatment scores on these measures each demonstrated predictive accuracy for inpatient aggression (AUC ? .68 to .76) whereas the PCL-R and VRAG-R did not. HCR-20V3, VRS, and START dynamic scores demonstrated incremental predictive validity for inpatient aggression to varying degrees after controlling for static risk factors. Dynamic change scores from these 3 measures also demonstrated incremental concurrent associations with reductions in inpatient aggression after controlling for baseline risk. Several instruments demonstrated predictive validity for inpatient aggression and clinical/dynamic risk and change scores had unique associations with this outcome. The present findings suggest that risk assessments using the HCR-20V3, START, and VRS may inform the management and reduction of inpatient aggression, as well as assessments of dynamic risk more generally.","author":[{"dropping-particle":"","family":"Hogan","given":"Neil R.","non-dropping-particle":"","parse-names":false,"suffix":""},{"dropping-particle":"","family":"Olver","given":"Mark E.","non-dropping-particle":"","parse-names":false,"suffix":""}],"container-title":"Law and Human Behavior","id":"ITEM-1","issued":{"date-parts":[["2016"]]},"title":"Assessing Risk for Aggression in Forensic Psychiatric Inpatients: An Examination of Five Measures","type":"article-journal"},"uris":["http://www.mendeley.com/documents/?uuid=86dfe5aa-5a90-4257-9dcd-94869941005a","http://www.mendeley.com/documents/?uuid=50e721c7-7b0f-427b-bf91-cf850f145b25"]}],"mendeley":{"formattedCitation":"(Hogan &amp; Olver, 2016)","plainTextFormattedCitation":"(Hogan &amp; Olver, 2016)","previouslyFormattedCitation":"(Hogan &amp; Olver, 2016)"},"properties":{"noteIndex":0},"schema":"https://github.com/citation-style-language/schema/raw/master/csl-citation.json"}</w:instrText>
      </w:r>
      <w:r w:rsidR="00235E7A">
        <w:rPr>
          <w:lang w:val="en-US"/>
        </w:rPr>
        <w:fldChar w:fldCharType="separate"/>
      </w:r>
      <w:r w:rsidR="00235E7A" w:rsidRPr="00235E7A">
        <w:rPr>
          <w:noProof/>
          <w:lang w:val="en-US"/>
        </w:rPr>
        <w:t>(Hogan &amp; Olver, 2016)</w:t>
      </w:r>
      <w:r w:rsidR="00235E7A">
        <w:rPr>
          <w:lang w:val="en-US"/>
        </w:rPr>
        <w:fldChar w:fldCharType="end"/>
      </w:r>
      <w:r w:rsidR="00D90BE3">
        <w:rPr>
          <w:lang w:val="en-US"/>
        </w:rPr>
        <w:t>.</w:t>
      </w:r>
    </w:p>
    <w:p w14:paraId="2DF316F4" w14:textId="0E243116" w:rsidR="00B20E45" w:rsidRDefault="009B4AB3" w:rsidP="006D48B6">
      <w:pPr>
        <w:spacing w:line="480" w:lineRule="auto"/>
        <w:ind w:firstLine="720"/>
        <w:jc w:val="both"/>
        <w:rPr>
          <w:lang w:val="en-US"/>
        </w:rPr>
      </w:pPr>
      <w:r>
        <w:rPr>
          <w:lang w:val="en-US"/>
        </w:rPr>
        <w:t xml:space="preserve">South </w:t>
      </w:r>
      <w:r w:rsidR="00407D84">
        <w:rPr>
          <w:lang w:val="en-US"/>
        </w:rPr>
        <w:t>Carolina</w:t>
      </w:r>
    </w:p>
    <w:p w14:paraId="2968356D" w14:textId="668D704A" w:rsidR="00970993" w:rsidRDefault="009B4AB3" w:rsidP="006D48B6">
      <w:pPr>
        <w:spacing w:line="480" w:lineRule="auto"/>
        <w:ind w:firstLine="720"/>
        <w:jc w:val="both"/>
        <w:rPr>
          <w:lang w:val="en-US"/>
        </w:rPr>
      </w:pPr>
      <w:r>
        <w:rPr>
          <w:lang w:val="en-US"/>
        </w:rPr>
        <w:t xml:space="preserve">The South Carolina state has outlined key forensic risk management factors which are evaluated in determining individual development. It provides a strong commitment to essential processes which can help in maintaining improved outcomes in maintaining a strong focus on better </w:t>
      </w:r>
      <w:r w:rsidR="009638AA">
        <w:rPr>
          <w:lang w:val="en-US"/>
        </w:rPr>
        <w:t>societal</w:t>
      </w:r>
      <w:r>
        <w:rPr>
          <w:lang w:val="en-US"/>
        </w:rPr>
        <w:t xml:space="preserve"> </w:t>
      </w:r>
      <w:r w:rsidR="009638AA">
        <w:rPr>
          <w:lang w:val="en-US"/>
        </w:rPr>
        <w:t>development. The</w:t>
      </w:r>
      <w:r>
        <w:rPr>
          <w:lang w:val="en-US"/>
        </w:rPr>
        <w:t xml:space="preserve"> South Carolina </w:t>
      </w:r>
      <w:r w:rsidR="009638AA">
        <w:rPr>
          <w:lang w:val="en-US"/>
        </w:rPr>
        <w:t>forensic</w:t>
      </w:r>
      <w:r>
        <w:rPr>
          <w:lang w:val="en-US"/>
        </w:rPr>
        <w:t xml:space="preserve"> psychiatry provides a critical understanding of key changes which help in providing a more significant commitment to </w:t>
      </w:r>
      <w:r w:rsidR="00407D84">
        <w:rPr>
          <w:lang w:val="en-US"/>
        </w:rPr>
        <w:t>positive</w:t>
      </w:r>
      <w:r>
        <w:rPr>
          <w:lang w:val="en-US"/>
        </w:rPr>
        <w:t xml:space="preserve"> behavior among individuals within the society. The key concepts that are </w:t>
      </w:r>
      <w:r w:rsidR="00407D84">
        <w:rPr>
          <w:lang w:val="en-US"/>
        </w:rPr>
        <w:t>integration</w:t>
      </w:r>
      <w:r>
        <w:rPr>
          <w:lang w:val="en-US"/>
        </w:rPr>
        <w:t xml:space="preserve"> this case include the study of violent behavior which includes social deviancy and personality research. The integration of these factors provides a critical evaluation of specific elements which need to be evaluated in understanding the underlying individual behavior.</w:t>
      </w:r>
      <w:r w:rsidR="003A6703">
        <w:rPr>
          <w:lang w:val="en-US"/>
        </w:rPr>
        <w:t xml:space="preserve"> </w:t>
      </w:r>
      <w:r w:rsidR="00407D84">
        <w:rPr>
          <w:lang w:val="en-US"/>
        </w:rPr>
        <w:t>Personality</w:t>
      </w:r>
      <w:r w:rsidR="00A067E9">
        <w:rPr>
          <w:lang w:val="en-US"/>
        </w:rPr>
        <w:t xml:space="preserve"> </w:t>
      </w:r>
      <w:r w:rsidR="00A067E9">
        <w:rPr>
          <w:lang w:val="en-US"/>
        </w:rPr>
        <w:lastRenderedPageBreak/>
        <w:t xml:space="preserve">research takes into consideration chronic immoral and </w:t>
      </w:r>
      <w:r w:rsidR="00407D84">
        <w:rPr>
          <w:lang w:val="en-US"/>
        </w:rPr>
        <w:t>antisocial</w:t>
      </w:r>
      <w:r w:rsidR="00A067E9">
        <w:rPr>
          <w:lang w:val="en-US"/>
        </w:rPr>
        <w:t xml:space="preserve"> behavior as well as attempting to identify fledgling psychopaths within juvenile populations. The social </w:t>
      </w:r>
      <w:r w:rsidR="00407D84">
        <w:rPr>
          <w:lang w:val="en-US"/>
        </w:rPr>
        <w:t>deviancy</w:t>
      </w:r>
      <w:r w:rsidR="00A067E9">
        <w:rPr>
          <w:lang w:val="en-US"/>
        </w:rPr>
        <w:t xml:space="preserve"> takes into </w:t>
      </w:r>
      <w:r w:rsidR="009638AA">
        <w:rPr>
          <w:lang w:val="en-US"/>
        </w:rPr>
        <w:t>consideration</w:t>
      </w:r>
      <w:r w:rsidR="00A067E9">
        <w:rPr>
          <w:lang w:val="en-US"/>
        </w:rPr>
        <w:t xml:space="preserve"> antisocial personality disorder</w:t>
      </w:r>
      <w:r w:rsidR="00235E7A">
        <w:rPr>
          <w:lang w:val="en-US"/>
        </w:rPr>
        <w:t xml:space="preserve"> </w:t>
      </w:r>
      <w:r w:rsidR="00235E7A">
        <w:rPr>
          <w:lang w:val="en-US"/>
        </w:rPr>
        <w:fldChar w:fldCharType="begin" w:fldLock="1"/>
      </w:r>
      <w:r w:rsidR="00C70863">
        <w:rPr>
          <w:lang w:val="en-US"/>
        </w:rPr>
        <w:instrText>ADDIN CSL_CITATION {"citationItems":[{"id":"ITEM-1","itemData":{"DOI":"10.4324/9781315018973","ISBN":"9781315018973","author":[{"dropping-particle":"","family":"Wilhelm","given":"Richard","non-dropping-particle":"","parse-names":false,"suffix":""}],"container-title":"Confucius and Confucianism","id":"ITEM-1","issued":{"date-parts":[["2013"]]},"number-of-pages":"1-181","title":"Confucius and Confucianism","type":"book"},"uris":["http://www.mendeley.com/documents/?uuid=5ed8702a-fe69-48fc-a433-c0e92609e9b1"]}],"mendeley":{"formattedCitation":"(Wilhelm, 2013)","plainTextFormattedCitation":"(Wilhelm, 2013)","previouslyFormattedCitation":"(Wilhelm, 2013)"},"properties":{"noteIndex":0},"schema":"https://github.com/citation-style-language/schema/raw/master/csl-citation.json"}</w:instrText>
      </w:r>
      <w:r w:rsidR="00235E7A">
        <w:rPr>
          <w:lang w:val="en-US"/>
        </w:rPr>
        <w:fldChar w:fldCharType="separate"/>
      </w:r>
      <w:r w:rsidR="00235E7A" w:rsidRPr="00235E7A">
        <w:rPr>
          <w:noProof/>
          <w:lang w:val="en-US"/>
        </w:rPr>
        <w:t>(Wilhelm, 2013)</w:t>
      </w:r>
      <w:r w:rsidR="00235E7A">
        <w:rPr>
          <w:lang w:val="en-US"/>
        </w:rPr>
        <w:fldChar w:fldCharType="end"/>
      </w:r>
      <w:r w:rsidR="003A6703">
        <w:rPr>
          <w:lang w:val="en-US"/>
        </w:rPr>
        <w:t>.</w:t>
      </w:r>
    </w:p>
    <w:p w14:paraId="3E843C56" w14:textId="2F39EDC6" w:rsidR="003A6703" w:rsidRDefault="009B4AB3" w:rsidP="006D48B6">
      <w:pPr>
        <w:spacing w:line="480" w:lineRule="auto"/>
        <w:ind w:firstLine="720"/>
        <w:jc w:val="both"/>
        <w:rPr>
          <w:lang w:val="en-US"/>
        </w:rPr>
      </w:pPr>
      <w:r>
        <w:rPr>
          <w:lang w:val="en-US"/>
        </w:rPr>
        <w:t>Juvenile sentencing as adults in South Car</w:t>
      </w:r>
      <w:r w:rsidR="009638AA">
        <w:rPr>
          <w:lang w:val="en-US"/>
        </w:rPr>
        <w:t>olina</w:t>
      </w:r>
    </w:p>
    <w:p w14:paraId="5C639879" w14:textId="5E5F1AB2" w:rsidR="009638AA" w:rsidRDefault="009B4AB3" w:rsidP="006D48B6">
      <w:pPr>
        <w:spacing w:line="480" w:lineRule="auto"/>
        <w:ind w:firstLine="720"/>
        <w:jc w:val="both"/>
        <w:rPr>
          <w:lang w:val="en-US"/>
        </w:rPr>
      </w:pPr>
      <w:r>
        <w:rPr>
          <w:lang w:val="en-US"/>
        </w:rPr>
        <w:t>Sentencing juveniles as adults are based on different factors which are taken into consideration and help create a strong commitment where it is possible to manage improved focus on individual wellbeing. In South Carolina, the term juvenile is used to refer to persons below the age of 17 years. Thus under normal circumstances, an individual below 17 years who commits a crime is charged within the juvenile criminal justice system. However, the term juvenile is not considered when a 16-year-old commits type A, B, C and D felony crimes as highlighted under SC section 16- 1- 20 or a felony that holds a maximum period of not less than 15 years. However, it is evident within the South Carolina law that the solicitor can use discretion to remand the felonies back to family courts for determination</w:t>
      </w:r>
      <w:r w:rsidR="00235E7A">
        <w:rPr>
          <w:lang w:val="en-US"/>
        </w:rPr>
        <w:t xml:space="preserve"> </w:t>
      </w:r>
      <w:r w:rsidR="00C70863">
        <w:rPr>
          <w:lang w:val="en-US"/>
        </w:rPr>
        <w:fldChar w:fldCharType="begin" w:fldLock="1"/>
      </w:r>
      <w:r w:rsidR="00C70863">
        <w:rPr>
          <w:lang w:val="en-US"/>
        </w:rPr>
        <w:instrText>ADDIN CSL_CITATION {"citationItems":[{"id":"ITEM-1","itemData":{"DOI":"10.3354/meps12576","ISSN":"01718630","abstract":"Reconstructing the movements of fish among different environments and incorporating patterns of spatial population structure contribute to improved accuracy in the assessment of marine fishery resources. The southern flounder Paralichthys lethostigma is a valuable flatfish throughout its range in the US South Atlantic and Gulf of Mexico, but stock conservation and management is hindered by critical knowledge gaps related to patterns of movement and the level of mixing among populations. Identifying stock structure and connectivity can be challenging in species with complex life histories, and otolith geochemical signatures have been effectively used as natural markers to estimate population connectivity in migratory fishes. With this approach, we inferred the degree of exchange of southern flounder among broad US South Atlantic regions by predicting the nursery origins of adults captured in North Carolina and South Carolina estuaries. Baseline nursery profiles were first established by analyzing stable isotopes (δ13C, δ18O) and trace elements (Mg:Ca, Mn:Ca, Sr:Ca, Ba:Ca) sampled from juvenile southern flounder otoliths. Quadratic discriminant analysis discriminated among state-scale nursery regions (North Carolina, South Carolina, and Florida) with 72% cross-validation accuracy. Adult southern flounder from the same cohort were subsequently classified to the atlas of nursery signatures obtained from the juvenile fish using a maximum likelihood mixed stock analysis. Results revealed a lack of nursery-state fidelity and the potential for broad-scale movement of post-migratory adults along the US South Atlantic coast, which will contribute to the definition of appropriate spatial scales for management.","author":[{"dropping-particle":"","family":"Wang","given":"Verena H.","non-dropping-particle":"","parse-names":false,"suffix":""},{"dropping-particle":"","family":"Wilson White","given":"J.","non-dropping-particle":"","parse-names":false,"suffix":""},{"dropping-particle":"","family":"Arnott","given":"Stephen A.","non-dropping-particle":"","parse-names":false,"suffix":""},{"dropping-particle":"","family":"Scharf","given":"Frederick S.","non-dropping-particle":"","parse-names":false,"suffix":""}],"container-title":"Marine Ecology Progress Series","id":"ITEM-1","issued":{"date-parts":[["2018"]]},"title":"Population connectivity of southern flounder in the US South Atlantic revealed by otolith chemical analysis","type":"article-journal"},"uris":["http://www.mendeley.com/documents/?uuid=286cd470-c2d4-44a4-9716-2e77fb892407","http://www.mendeley.com/documents/?uuid=2bc3baa6-3898-4343-b73f-547a5c752100"]}],"mendeley":{"formattedCitation":"(Wang, Wilson White, Arnott, &amp; Scharf, 2018)","plainTextFormattedCitation":"(Wang, Wilson White, Arnott, &amp; Scharf, 2018)","previouslyFormattedCitation":"(Wang, Wilson White, Arnott, &amp; Scharf, 2018)"},"properties":{"noteIndex":0},"schema":"https://github.com/citation-style-language/schema/raw/master/csl-citation.json"}</w:instrText>
      </w:r>
      <w:r w:rsidR="00C70863">
        <w:rPr>
          <w:lang w:val="en-US"/>
        </w:rPr>
        <w:fldChar w:fldCharType="separate"/>
      </w:r>
      <w:r w:rsidR="00C70863" w:rsidRPr="00C70863">
        <w:rPr>
          <w:noProof/>
          <w:lang w:val="en-US"/>
        </w:rPr>
        <w:t>(Wang, Wilson White, Arnott, &amp; Scharf, 2018)</w:t>
      </w:r>
      <w:r w:rsidR="00C70863">
        <w:rPr>
          <w:lang w:val="en-US"/>
        </w:rPr>
        <w:fldChar w:fldCharType="end"/>
      </w:r>
      <w:r>
        <w:rPr>
          <w:lang w:val="en-US"/>
        </w:rPr>
        <w:t>.</w:t>
      </w:r>
    </w:p>
    <w:p w14:paraId="37129C7A" w14:textId="43571777" w:rsidR="00264FA1" w:rsidRDefault="009B4AB3" w:rsidP="006D48B6">
      <w:pPr>
        <w:spacing w:line="480" w:lineRule="auto"/>
        <w:ind w:firstLine="720"/>
        <w:jc w:val="both"/>
        <w:rPr>
          <w:lang w:val="en-US"/>
        </w:rPr>
      </w:pPr>
      <w:r>
        <w:rPr>
          <w:lang w:val="en-US"/>
        </w:rPr>
        <w:t xml:space="preserve">Thus within South Carolina, a child can be tried as an </w:t>
      </w:r>
      <w:r w:rsidR="00407D84">
        <w:rPr>
          <w:lang w:val="en-US"/>
        </w:rPr>
        <w:t>adult</w:t>
      </w:r>
      <w:r>
        <w:rPr>
          <w:lang w:val="en-US"/>
        </w:rPr>
        <w:t xml:space="preserve"> under different situations. A family court, in this case, is tasked with waiver hearing to make a determination on whether the action that is undertaken in this case is in the best interest of the child and the public. Thus during the waiver </w:t>
      </w:r>
      <w:r w:rsidR="00407D84">
        <w:rPr>
          <w:lang w:val="en-US"/>
        </w:rPr>
        <w:t>hearing</w:t>
      </w:r>
      <w:r>
        <w:rPr>
          <w:lang w:val="en-US"/>
        </w:rPr>
        <w:t>, the family court might  decide to waive the child to adult  criminal court under different conditions including if the child is charged for murder,  if a child is a child between 14 and 15 years  and is charged with an offense that carries a minimum sentence  of 15 years, the child is 14 years or older and is charged with carrying  a weapon on school property, illegal carrying of a handgun. Assault and battery and distribution of drugs within a half mile of a school</w:t>
      </w:r>
      <w:r w:rsidR="00C70863">
        <w:rPr>
          <w:lang w:val="en-US"/>
        </w:rPr>
        <w:t xml:space="preserve"> </w:t>
      </w:r>
      <w:r w:rsidR="00C70863">
        <w:rPr>
          <w:lang w:val="en-US"/>
        </w:rPr>
        <w:fldChar w:fldCharType="begin" w:fldLock="1"/>
      </w:r>
      <w:r w:rsidR="00ED0694">
        <w:rPr>
          <w:lang w:val="en-US"/>
        </w:rPr>
        <w:instrText>ADDIN CSL_CITATION {"citationItems":[{"id":"ITEM-1","itemData":{"DOI":"10.2307/1446044","ISBN":"00458511","ISSN":"00458511","abstract":"The demography and life history of two populations of two species of chorus frogs (Pseudacris ornata and P. nigrita) were studied for 4 yr on the Savannah River Plant near Aiken, South Carolina. Sexual maturity in both species is reached within the first year of life, and the population turnover is nearly annual. The sex ratio of adults that entered the breeding ponds each year at each locality was 1:1. The operational sex ratio was skewed toward males during the first breeding peak in P. ornata, but was 1:1 in P. nigrita. All females that entered the ponds for the first time were gravid, but the percentage of females depositing eggs within a season and within localities was variable. In general, when the number of adults breeding in one year was low, survival of these adults to the next breeding season was high, suggesting that there may be a cost to reproduction in terms of survival. Juvenile recruitment was highest in the wettest year of the study. Recruitment of P. nigrita was never as high as that of P. ornata. One of the study sites had an artificially lowered water level, and juvenile recruitment of P. ornata was low during all years at this site compared to the other pond. These species best fit a bet-hedging model of life history tactics. The breeding habitat is unpredictable in time and space. Juvenile mortality is predictably high, but where and when it occurs is random. Selection apparently has favored juvenile dispersal as an alternative to longevity and iteroparity of individual females.","author":[{"dropping-particle":"","family":"Caldwell","given":"Janalee P","non-dropping-particle":"","parse-names":false,"suffix":""}],"container-title":"Copeia","id":"ITEM-1","issued":{"date-parts":[["2010"]]},"title":"Demography and Life History of Two Species of Chorus Frogs (Anura: Hylidae) in South Carolina","type":"article-journal"},"uris":["http://www.mendeley.com/documents/?uuid=cb3d2c7e-4e34-4d47-be4d-bba3e347dd85","http://www.mendeley.com/documents/?uuid=96faa4fe-25c8-418c-a887-df8afa74d621"]}],"mendeley":{"formattedCitation":"(Caldwell, 2010)","plainTextFormattedCitation":"(Caldwell, 2010)","previouslyFormattedCitation":"(Caldwell, 2010)"},"properties":{"noteIndex":0},"schema":"https://github.com/citation-style-language/schema/raw/master/csl-citation.json"}</w:instrText>
      </w:r>
      <w:r w:rsidR="00C70863">
        <w:rPr>
          <w:lang w:val="en-US"/>
        </w:rPr>
        <w:fldChar w:fldCharType="separate"/>
      </w:r>
      <w:r w:rsidR="00C70863" w:rsidRPr="00C70863">
        <w:rPr>
          <w:noProof/>
          <w:lang w:val="en-US"/>
        </w:rPr>
        <w:t>(Caldwell, 2010)</w:t>
      </w:r>
      <w:r w:rsidR="00C70863">
        <w:rPr>
          <w:lang w:val="en-US"/>
        </w:rPr>
        <w:fldChar w:fldCharType="end"/>
      </w:r>
      <w:r>
        <w:rPr>
          <w:lang w:val="en-US"/>
        </w:rPr>
        <w:t>.</w:t>
      </w:r>
    </w:p>
    <w:p w14:paraId="42660983" w14:textId="4AD9FAF4" w:rsidR="00264FA1" w:rsidRDefault="009B4AB3" w:rsidP="006D48B6">
      <w:pPr>
        <w:spacing w:line="480" w:lineRule="auto"/>
        <w:ind w:firstLine="720"/>
        <w:jc w:val="both"/>
        <w:rPr>
          <w:lang w:val="en-US"/>
        </w:rPr>
      </w:pPr>
      <w:r>
        <w:rPr>
          <w:lang w:val="en-US"/>
        </w:rPr>
        <w:lastRenderedPageBreak/>
        <w:t>Thus to consider the waiver, the family court must make a critical determination in making a focus on different factors including the seriousness of the offense and whether the action is undertaken in the best interest of the public</w:t>
      </w:r>
      <w:r w:rsidR="00B20E45">
        <w:rPr>
          <w:lang w:val="en-US"/>
        </w:rPr>
        <w:t xml:space="preserve">,  consideration of the child’s acts </w:t>
      </w:r>
      <w:r w:rsidR="00407D84">
        <w:rPr>
          <w:lang w:val="en-US"/>
        </w:rPr>
        <w:t>as</w:t>
      </w:r>
      <w:r w:rsidR="00B20E45">
        <w:rPr>
          <w:lang w:val="en-US"/>
        </w:rPr>
        <w:t xml:space="preserve"> being aggressive and violent as well as being premeditated. The integration of these factors provides a strong commitment to important elements which help in determining key changes that are put in place to ensure more significant commitment to underlying issues within the criminal justice system. </w:t>
      </w:r>
    </w:p>
    <w:p w14:paraId="2D181C80" w14:textId="218F22BE" w:rsidR="0097635B" w:rsidRDefault="009B4AB3" w:rsidP="006D48B6">
      <w:pPr>
        <w:spacing w:line="480" w:lineRule="auto"/>
        <w:ind w:firstLine="720"/>
        <w:jc w:val="both"/>
        <w:rPr>
          <w:lang w:val="en-US"/>
        </w:rPr>
      </w:pPr>
      <w:r w:rsidRPr="00B20E45">
        <w:rPr>
          <w:lang w:val="en-US"/>
        </w:rPr>
        <w:t>Evaluate risk factors that may have contributed to the shooter's actions.</w:t>
      </w:r>
    </w:p>
    <w:p w14:paraId="0B348E98" w14:textId="09D9941E" w:rsidR="00B20E45" w:rsidRDefault="009B4AB3" w:rsidP="006D48B6">
      <w:pPr>
        <w:spacing w:line="480" w:lineRule="auto"/>
        <w:ind w:firstLine="720"/>
        <w:jc w:val="both"/>
        <w:rPr>
          <w:lang w:val="en-US"/>
        </w:rPr>
      </w:pPr>
      <w:r>
        <w:rPr>
          <w:lang w:val="en-US"/>
        </w:rPr>
        <w:t xml:space="preserve">Risk assessment as evaluated in this case provide a strong focus on critical changes which help in creating a strong understanding of factors that influence individual behavior. The key aspects that are evaluated in this case are </w:t>
      </w:r>
      <w:r w:rsidR="00407D84">
        <w:rPr>
          <w:lang w:val="en-US"/>
        </w:rPr>
        <w:t>based</w:t>
      </w:r>
      <w:r>
        <w:rPr>
          <w:lang w:val="en-US"/>
        </w:rPr>
        <w:t xml:space="preserve"> on different concepts which might have played an integral role in the action undertaken by the shooter.  A critical aspect to consider in this case is the development of the shooter since he was a child. There are critical concepts which can be evaluated in this case and provide the basis of better decision making. </w:t>
      </w:r>
    </w:p>
    <w:p w14:paraId="2AFA6B31" w14:textId="726ECF70" w:rsidR="00B20E45" w:rsidRPr="00B20E45" w:rsidRDefault="009B4AB3" w:rsidP="006D48B6">
      <w:pPr>
        <w:spacing w:line="480" w:lineRule="auto"/>
        <w:ind w:firstLine="720"/>
        <w:jc w:val="both"/>
        <w:rPr>
          <w:lang w:val="en-US"/>
        </w:rPr>
      </w:pPr>
      <w:r w:rsidRPr="00B20E45">
        <w:rPr>
          <w:lang w:val="en-US"/>
        </w:rPr>
        <w:t xml:space="preserve">Kinkel’s family has significant issues of mental health problem. </w:t>
      </w:r>
      <w:r w:rsidR="00407D84" w:rsidRPr="00B20E45">
        <w:rPr>
          <w:lang w:val="en-US"/>
        </w:rPr>
        <w:t>However</w:t>
      </w:r>
      <w:r w:rsidRPr="00B20E45">
        <w:rPr>
          <w:lang w:val="en-US"/>
        </w:rPr>
        <w:t xml:space="preserve">, his parents concealed this fact from psychologists who made it difficult to provide a better focus on the issues that Kinkel was going through, and the information could have helped improve his mental strength which was profoundly damaged. Kinkel </w:t>
      </w:r>
      <w:r w:rsidR="00407D84" w:rsidRPr="00B20E45">
        <w:rPr>
          <w:lang w:val="en-US"/>
        </w:rPr>
        <w:t>had</w:t>
      </w:r>
      <w:r w:rsidRPr="00B20E45">
        <w:rPr>
          <w:lang w:val="en-US"/>
        </w:rPr>
        <w:t xml:space="preserve"> a difficult </w:t>
      </w:r>
      <w:r w:rsidR="00407D84" w:rsidRPr="00B20E45">
        <w:rPr>
          <w:lang w:val="en-US"/>
        </w:rPr>
        <w:t>childhood. He</w:t>
      </w:r>
      <w:r w:rsidRPr="00B20E45">
        <w:rPr>
          <w:lang w:val="en-US"/>
        </w:rPr>
        <w:t xml:space="preserve"> is reported to have ad unnormal ways, and his family identified that he struggled with the curr</w:t>
      </w:r>
      <w:r w:rsidR="00407D84">
        <w:rPr>
          <w:lang w:val="en-US"/>
        </w:rPr>
        <w:t>iculum</w:t>
      </w:r>
      <w:r w:rsidRPr="00B20E45">
        <w:rPr>
          <w:lang w:val="en-US"/>
        </w:rPr>
        <w:t xml:space="preserve"> while in Spain. When he </w:t>
      </w:r>
      <w:r w:rsidR="00407D84" w:rsidRPr="00B20E45">
        <w:rPr>
          <w:lang w:val="en-US"/>
        </w:rPr>
        <w:t>returned</w:t>
      </w:r>
      <w:r w:rsidRPr="00B20E45">
        <w:rPr>
          <w:lang w:val="en-US"/>
        </w:rPr>
        <w:t xml:space="preserve"> to Oregon, his teachers at the elementary level considered him as an immature child who lacked physical and emotional development. He was diagnosed with dyslexia which worsened leading to his placement in extensive education </w:t>
      </w:r>
      <w:r w:rsidR="00407D84" w:rsidRPr="00B20E45">
        <w:rPr>
          <w:lang w:val="en-US"/>
        </w:rPr>
        <w:t>classes</w:t>
      </w:r>
      <w:r w:rsidRPr="00B20E45">
        <w:rPr>
          <w:lang w:val="en-US"/>
        </w:rPr>
        <w:t xml:space="preserve"> during his </w:t>
      </w:r>
      <w:r w:rsidR="00407D84" w:rsidRPr="00B20E45">
        <w:rPr>
          <w:lang w:val="en-US"/>
        </w:rPr>
        <w:t>second</w:t>
      </w:r>
      <w:r w:rsidRPr="00B20E45">
        <w:rPr>
          <w:lang w:val="en-US"/>
        </w:rPr>
        <w:t xml:space="preserve"> grade. These concepts indicate of an individual who </w:t>
      </w:r>
      <w:r w:rsidR="00407D84" w:rsidRPr="00B20E45">
        <w:rPr>
          <w:lang w:val="en-US"/>
        </w:rPr>
        <w:t>struggled</w:t>
      </w:r>
      <w:r w:rsidRPr="00B20E45">
        <w:rPr>
          <w:lang w:val="en-US"/>
        </w:rPr>
        <w:t xml:space="preserve"> in his formative years and required further attention</w:t>
      </w:r>
      <w:r w:rsidR="00ED0694">
        <w:rPr>
          <w:lang w:val="en-US"/>
        </w:rPr>
        <w:t xml:space="preserve"> </w:t>
      </w:r>
      <w:r w:rsidR="00ED0694">
        <w:rPr>
          <w:lang w:val="en-US"/>
        </w:rPr>
        <w:fldChar w:fldCharType="begin" w:fldLock="1"/>
      </w:r>
      <w:r w:rsidR="00ED0694">
        <w:rPr>
          <w:lang w:val="en-US"/>
        </w:rPr>
        <w:instrText>ADDIN CSL_CITATION {"citationItems":[{"id":"ITEM-1","itemData":{"DOI":"10.3102/0162373715590683","ISBN":"9781628417050","ISSN":"0162-3737","abstract":"We analyze how fatal shootings in high schools affect schools and students using data from shooting databases, school report cards, and the Common Core of Data. We examine schools’ test scores, enrollment, number of teachers, graduation, attendance, and suspension rates at schools that experienced a shooting, employing a difference-in-differences strategy that uses other high schools in the same district as the comparison group. Our findings suggest that homicidal shootings significantly decrease the enrollment of students in Grade 9 and test scores in math and English standardized tests. Using student-level data from California, we confirm that shootings lower test results for students who remain enrolled. ","author":[{"dropping-particle":"","family":"Beland","given":"L.-P.","non-dropping-particle":"","parse-names":false,"suffix":""},{"dropping-particle":"","family":"Kim","given":"D.","non-dropping-particle":"","parse-names":false,"suffix":""}],"container-title":"Educational Evaluation and Policy Analysis","id":"ITEM-1","issued":{"date-parts":[["2016"]]},"title":"The Effect of High School Shootings on Schools and Student Performance","type":"article-journal"},"uris":["http://www.mendeley.com/documents/?uuid=3dc69e61-5176-429a-9834-cecec54a2ef9","http://www.mendeley.com/documents/?uuid=a924ac71-008c-4b2d-8990-f96aa5143491"]}],"mendeley":{"formattedCitation":"(Beland &amp; Kim, 2016)","plainTextFormattedCitation":"(Beland &amp; Kim, 2016)","previouslyFormattedCitation":"(Beland &amp; Kim, 2016)"},"properties":{"noteIndex":0},"schema":"https://github.com/citation-style-language/schema/raw/master/csl-citation.json"}</w:instrText>
      </w:r>
      <w:r w:rsidR="00ED0694">
        <w:rPr>
          <w:lang w:val="en-US"/>
        </w:rPr>
        <w:fldChar w:fldCharType="separate"/>
      </w:r>
      <w:r w:rsidR="00ED0694" w:rsidRPr="00ED0694">
        <w:rPr>
          <w:noProof/>
          <w:lang w:val="en-US"/>
        </w:rPr>
        <w:t>(Beland &amp; Kim, 2016)</w:t>
      </w:r>
      <w:r w:rsidR="00ED0694">
        <w:rPr>
          <w:lang w:val="en-US"/>
        </w:rPr>
        <w:fldChar w:fldCharType="end"/>
      </w:r>
      <w:r w:rsidR="00ED0694">
        <w:rPr>
          <w:lang w:val="en-US"/>
        </w:rPr>
        <w:t>.</w:t>
      </w:r>
    </w:p>
    <w:p w14:paraId="63EF09F9" w14:textId="5B7ABD5C" w:rsidR="00B20E45" w:rsidRPr="00B20E45" w:rsidRDefault="009B4AB3" w:rsidP="006D48B6">
      <w:pPr>
        <w:spacing w:line="480" w:lineRule="auto"/>
        <w:ind w:firstLine="720"/>
        <w:jc w:val="both"/>
        <w:rPr>
          <w:lang w:val="en-US"/>
        </w:rPr>
      </w:pPr>
      <w:r w:rsidRPr="00B20E45">
        <w:rPr>
          <w:lang w:val="en-US"/>
        </w:rPr>
        <w:lastRenderedPageBreak/>
        <w:t xml:space="preserve">His interests were </w:t>
      </w:r>
      <w:r w:rsidR="00407D84" w:rsidRPr="00B20E45">
        <w:rPr>
          <w:lang w:val="en-US"/>
        </w:rPr>
        <w:t>weird</w:t>
      </w:r>
      <w:r w:rsidRPr="00B20E45">
        <w:rPr>
          <w:lang w:val="en-US"/>
        </w:rPr>
        <w:t xml:space="preserve"> considering that from an early age he was interested in firearms a behavior that his father initially encouraged and bought him as  22 calibers long rifle and a handgun at a tender age of 15. His classmates considered him as being strange and morbid while other students considered him as being schizoid or psychotic. He continuously talked about committing violence where he told his friends that he wanted to join the army because he wanted to know what it felt like to commit kill.  His father before he was </w:t>
      </w:r>
      <w:r w:rsidR="00407D84" w:rsidRPr="00B20E45">
        <w:rPr>
          <w:lang w:val="en-US"/>
        </w:rPr>
        <w:t>murdered,</w:t>
      </w:r>
      <w:r w:rsidRPr="00B20E45">
        <w:rPr>
          <w:lang w:val="en-US"/>
        </w:rPr>
        <w:t xml:space="preserve"> he had confided in his friend that he </w:t>
      </w:r>
      <w:r w:rsidR="00407D84" w:rsidRPr="00B20E45">
        <w:rPr>
          <w:lang w:val="en-US"/>
        </w:rPr>
        <w:t>had</w:t>
      </w:r>
      <w:r w:rsidRPr="00B20E45">
        <w:rPr>
          <w:lang w:val="en-US"/>
        </w:rPr>
        <w:t xml:space="preserve"> run out of options to help his son.</w:t>
      </w:r>
    </w:p>
    <w:p w14:paraId="45074714" w14:textId="77777777" w:rsidR="00ED0694" w:rsidRDefault="009B4AB3" w:rsidP="006D48B6">
      <w:pPr>
        <w:spacing w:line="480" w:lineRule="auto"/>
        <w:ind w:firstLine="720"/>
        <w:jc w:val="both"/>
        <w:rPr>
          <w:lang w:val="en-US"/>
        </w:rPr>
      </w:pPr>
      <w:r>
        <w:rPr>
          <w:lang w:val="en-US"/>
        </w:rPr>
        <w:t>F</w:t>
      </w:r>
      <w:r w:rsidR="00B20E45" w:rsidRPr="00B20E45">
        <w:rPr>
          <w:lang w:val="en-US"/>
        </w:rPr>
        <w:t xml:space="preserve">orensic risk assessment </w:t>
      </w:r>
      <w:r w:rsidR="00B20E45">
        <w:rPr>
          <w:lang w:val="en-US"/>
        </w:rPr>
        <w:t xml:space="preserve">tools </w:t>
      </w:r>
    </w:p>
    <w:p w14:paraId="0C86E38C" w14:textId="272D246B" w:rsidR="00B20E45" w:rsidRDefault="00400490" w:rsidP="006D48B6">
      <w:pPr>
        <w:spacing w:line="480" w:lineRule="auto"/>
        <w:ind w:firstLine="720"/>
        <w:jc w:val="both"/>
        <w:rPr>
          <w:lang w:val="en-US"/>
        </w:rPr>
      </w:pPr>
      <w:r>
        <w:rPr>
          <w:noProof/>
          <w:lang w:val="en-US"/>
        </w:rPr>
        <w:t>R</w:t>
      </w:r>
      <w:bookmarkStart w:id="0" w:name="_GoBack"/>
      <w:bookmarkEnd w:id="0"/>
      <w:r w:rsidR="009B4AB3" w:rsidRPr="00400490">
        <w:rPr>
          <w:noProof/>
          <w:lang w:val="en-US"/>
        </w:rPr>
        <w:t>isk</w:t>
      </w:r>
      <w:r w:rsidR="009B4AB3" w:rsidRPr="00B20E45">
        <w:rPr>
          <w:lang w:val="en-US"/>
        </w:rPr>
        <w:t xml:space="preserve"> assessment as evaluated in this case </w:t>
      </w:r>
      <w:r w:rsidR="009B4AB3" w:rsidRPr="00400490">
        <w:rPr>
          <w:noProof/>
          <w:lang w:val="en-US"/>
        </w:rPr>
        <w:t>provide</w:t>
      </w:r>
      <w:r>
        <w:rPr>
          <w:noProof/>
          <w:lang w:val="en-US"/>
        </w:rPr>
        <w:t>s</w:t>
      </w:r>
      <w:r w:rsidR="009B4AB3" w:rsidRPr="00B20E45">
        <w:rPr>
          <w:lang w:val="en-US"/>
        </w:rPr>
        <w:t xml:space="preserve"> a more significant commitment to important concepts which help in defining a strong focus on essential elements which help in understanding individual behavior within a given period. Thus it involves the interaction of offender characteristics and situation over time. Thus risk assessment takes into consideration two aspects which include prediction and management. The ability to predict crime is based on the critical evaluation of individual wellbeing where it is easy to manage better outcomes. The development of important concepts, in this case, focuses on individual psychological wellbeing to understand fundamental changes which have taken place and create a strong commitment to the underlying social and environmental issues which might influence individual behavior. </w:t>
      </w:r>
    </w:p>
    <w:p w14:paraId="6A268338" w14:textId="5EC8DB8F" w:rsidR="00B20E45" w:rsidRDefault="009B4AB3" w:rsidP="006D48B6">
      <w:pPr>
        <w:spacing w:line="480" w:lineRule="auto"/>
        <w:ind w:firstLine="720"/>
        <w:jc w:val="both"/>
        <w:rPr>
          <w:lang w:val="en-US"/>
        </w:rPr>
      </w:pPr>
      <w:r>
        <w:rPr>
          <w:lang w:val="en-US"/>
        </w:rPr>
        <w:t xml:space="preserve">The forensic risk management tools that are evaluated in this case should focus on creating a highly committed environment where it is possible to understand essential factors that are likely to influence the decision made by the shooter. The risk assessment tools that are integrated into this case help provide a firm commitment where it is possible to improve on the </w:t>
      </w:r>
      <w:r w:rsidR="00407D84">
        <w:rPr>
          <w:lang w:val="en-US"/>
        </w:rPr>
        <w:t>underlying</w:t>
      </w:r>
      <w:r>
        <w:rPr>
          <w:lang w:val="en-US"/>
        </w:rPr>
        <w:t xml:space="preserve"> factors that influence criminal behavior. A behavioral measurement scale is a valuable tool that would have been adequately evaluated in this case where it is crucial to understand critical changes which help in maintaining a positive relationship. These scales</w:t>
      </w:r>
      <w:r w:rsidR="008319D4">
        <w:rPr>
          <w:lang w:val="en-US"/>
        </w:rPr>
        <w:t xml:space="preserve"> </w:t>
      </w:r>
      <w:r w:rsidR="008319D4">
        <w:rPr>
          <w:lang w:val="en-US"/>
        </w:rPr>
        <w:lastRenderedPageBreak/>
        <w:t xml:space="preserve">evaluate the </w:t>
      </w:r>
      <w:r w:rsidR="00407D84">
        <w:rPr>
          <w:lang w:val="en-US"/>
        </w:rPr>
        <w:t>presence</w:t>
      </w:r>
      <w:r w:rsidR="008319D4">
        <w:rPr>
          <w:lang w:val="en-US"/>
        </w:rPr>
        <w:t xml:space="preserve"> as well as the frequency of specific problem behavior among individuals to measure the level of risk for the youth. Different </w:t>
      </w:r>
      <w:r w:rsidR="00407D84">
        <w:rPr>
          <w:lang w:val="en-US"/>
        </w:rPr>
        <w:t>behaviors</w:t>
      </w:r>
      <w:r w:rsidR="008319D4">
        <w:rPr>
          <w:lang w:val="en-US"/>
        </w:rPr>
        <w:t xml:space="preserve"> have different risk levels thus it is essential to understand whether an individual behavior severity is high which requires intervention. The successful consideration of the results provides a stronger commitment to essential elements which can be considered to achieve greater success</w:t>
      </w:r>
      <w:r w:rsidR="00ED0694">
        <w:rPr>
          <w:lang w:val="en-US"/>
        </w:rPr>
        <w:t xml:space="preserve"> </w:t>
      </w:r>
      <w:r w:rsidR="00ED0694">
        <w:rPr>
          <w:lang w:val="en-US"/>
        </w:rPr>
        <w:fldChar w:fldCharType="begin" w:fldLock="1"/>
      </w:r>
      <w:r w:rsidR="00ED0694">
        <w:rPr>
          <w:lang w:val="en-US"/>
        </w:rPr>
        <w:instrText>ADDIN CSL_CITATION {"citationItems":[{"id":"ITEM-1","itemData":{"DOI":"10.1016/j.psyneuen.2014.09.016","ISBN":"0306-4530","ISSN":"18733360","PMID":"25290348","abstract":"Introduction: Police work is one of the most demanding professions with various sources of high occupational stress. Among the most demanding tasks are amok situations, such as school shootings. Hardly anything is known about endocrine and cardiovascular markers in safety professionals during emergency situations in real life and how this relates to stress perception and management. This study will therefore explore police officers' stress responses to a reality-based school shooting simulation assessing neuroendocrine, cardiovascular, and psychological stress markers. Methods: A convenience sample of 50 police officers (39.5. ±. 8.7 yrs, 9 women) participating in a basic or refresher amok training session for the German uniformed and criminal police were recruited. Saliva samples were collected shortly before the simulation task (school shooting), immediately after, 20 and 45. min after finishing the task for the assessment of cortisol and alpha-amylase (sAA), as markers of the hypothalamic-pituitary-adrenal axis and the autonomic nervous system, respectively. Heart rate (variability) was assessed continuously. Officers rated their actual mood right before and 10. min after the simulation. Subjective experience of task stressfulness was assessed minutes after finishing the simulation. Results: Overall, the simulated school shooting did not result in changes of mood, tiredness, or calmness but higher restlessness was experienced during the basic training, which was also experienced as more controllable. Female officers reported to experience more strain and anxiety. Cortisol showed highest levels at the beginning of the training and steadily decreasing values thereafter. In contrast, sAA increased substantially right after the simulation with officers on the front position showing most pronounced changes. Cardiovascular reactivity was highest in officers acting on the side positions while advancing to find the suspect. Furthermore higher self-efficacy as well as, by trend, controllability and relevance of results correlated with cardiovascular measures. Discussion: Autonomic but not endocrine stress markers increased to a simulated school shooting, which were further related to the subjective experience of the simulation. Our results provide a more in-depth picture of stress responses in such situations, which will in the long run raise the possibility to refine training programs, design more effective stress-management strategies for these critical inc…","author":[{"dropping-particle":"","family":"Strahler","given":"Jana","non-dropping-particle":"","parse-names":false,"suffix":""},{"dropping-particle":"","family":"Ziegert","given":"Thomas","non-dropping-particle":"","parse-names":false,"suffix":""}],"container-title":"Psychoneuroendocrinology","id":"ITEM-1","issued":{"date-parts":[["2015"]]},"title":"Psychobiological stress response to a simulated school shooting in police officers","type":"article-journal"},"uris":["http://www.mendeley.com/documents/?uuid=568f0210-9a29-4ad3-bd13-272d3cb9e795","http://www.mendeley.com/documents/?uuid=b3926a81-9f87-4c46-9629-db5a9a738037"]}],"mendeley":{"formattedCitation":"(Strahler &amp; Ziegert, 2015)","plainTextFormattedCitation":"(Strahler &amp; Ziegert, 2015)","previouslyFormattedCitation":"(Strahler &amp; Ziegert, 2015)"},"properties":{"noteIndex":0},"schema":"https://github.com/citation-style-language/schema/raw/master/csl-citation.json"}</w:instrText>
      </w:r>
      <w:r w:rsidR="00ED0694">
        <w:rPr>
          <w:lang w:val="en-US"/>
        </w:rPr>
        <w:fldChar w:fldCharType="separate"/>
      </w:r>
      <w:r w:rsidR="00ED0694" w:rsidRPr="00ED0694">
        <w:rPr>
          <w:noProof/>
          <w:lang w:val="en-US"/>
        </w:rPr>
        <w:t>(Strahler &amp; Ziegert, 2015)</w:t>
      </w:r>
      <w:r w:rsidR="00ED0694">
        <w:rPr>
          <w:lang w:val="en-US"/>
        </w:rPr>
        <w:fldChar w:fldCharType="end"/>
      </w:r>
      <w:r w:rsidR="008319D4">
        <w:rPr>
          <w:lang w:val="en-US"/>
        </w:rPr>
        <w:t>.</w:t>
      </w:r>
    </w:p>
    <w:p w14:paraId="59A249C8" w14:textId="7FE1B620" w:rsidR="008319D4" w:rsidRDefault="009B4AB3" w:rsidP="006D48B6">
      <w:pPr>
        <w:spacing w:line="480" w:lineRule="auto"/>
        <w:ind w:firstLine="720"/>
        <w:jc w:val="both"/>
        <w:rPr>
          <w:lang w:val="en-US"/>
        </w:rPr>
      </w:pPr>
      <w:r>
        <w:rPr>
          <w:lang w:val="en-US"/>
        </w:rPr>
        <w:t xml:space="preserve">The behavioral and emotional </w:t>
      </w:r>
      <w:r w:rsidR="00407D84">
        <w:rPr>
          <w:lang w:val="en-US"/>
        </w:rPr>
        <w:t>screening</w:t>
      </w:r>
      <w:r>
        <w:rPr>
          <w:lang w:val="en-US"/>
        </w:rPr>
        <w:t xml:space="preserve"> system is vital on evaluating critical focus on individual behavior and emotional wellbeing to determine important changes which help in maintaining positive outcomes. The development of individual behavior is evaluated based on standard measures to determine whether there is cause to worry based on essential changes which help in maintaining positive outcomes. School social behavior scale is also essential in this case. The school social behavior would have helped in understanding the level of interaction of Kinkel and help teachers determine essential ways that they can help in improving his wellbeing. These concepts are essential in determining the wellbeing of an individual hence it is easy to understand fundamental processes which define improved outcomes within a given context. Risk assessment is essential considering that it provides a better platform where it is possible to understand critical changes which need to be evaluated and help define better outcomes. </w:t>
      </w:r>
    </w:p>
    <w:p w14:paraId="35B62583" w14:textId="33138A77" w:rsidR="008319D4" w:rsidRPr="008319D4" w:rsidRDefault="009B4AB3" w:rsidP="006D48B6">
      <w:pPr>
        <w:spacing w:line="480" w:lineRule="auto"/>
        <w:ind w:firstLine="720"/>
        <w:jc w:val="both"/>
        <w:rPr>
          <w:lang w:val="en-US"/>
        </w:rPr>
      </w:pPr>
      <w:r>
        <w:rPr>
          <w:lang w:val="en-US"/>
        </w:rPr>
        <w:t>P</w:t>
      </w:r>
      <w:r w:rsidRPr="008319D4">
        <w:rPr>
          <w:lang w:val="en-US"/>
        </w:rPr>
        <w:t>ersonal biases, which may lead to weaknesses regarding how you effectively communicate the results of the forensic assessment where the defendant is a juvenile given a life sentence.</w:t>
      </w:r>
    </w:p>
    <w:p w14:paraId="37A0AAC6" w14:textId="30413314" w:rsidR="008319D4" w:rsidRDefault="009B4AB3" w:rsidP="006D48B6">
      <w:pPr>
        <w:spacing w:line="480" w:lineRule="auto"/>
        <w:ind w:firstLine="720"/>
        <w:jc w:val="both"/>
        <w:rPr>
          <w:lang w:val="en-US"/>
        </w:rPr>
      </w:pPr>
      <w:r>
        <w:rPr>
          <w:lang w:val="en-US"/>
        </w:rPr>
        <w:t xml:space="preserve"> Communication of the assessment results is based on different concepts including the instrument that is being used and the level of expertise of an individual who is conducting the assessment. An individual who is already considered Kinkel as a troublesome child who cannot </w:t>
      </w:r>
      <w:r>
        <w:rPr>
          <w:lang w:val="en-US"/>
        </w:rPr>
        <w:lastRenderedPageBreak/>
        <w:t>be helped cannot be trusted in making an assessment and attaining positive outcomes. There is a need to maintain a high level of impartiality which can be adequately considered in creating a strong focus on significant changes in defining individual wellbeing. The level of measurement varies from one test to another. This means that it is not possible to outline specific concepts which can be adequately evaluated and help provide a strong understanding of key concepts which define positive development</w:t>
      </w:r>
      <w:r w:rsidR="00ED0694">
        <w:rPr>
          <w:lang w:val="en-US"/>
        </w:rPr>
        <w:t xml:space="preserve"> </w:t>
      </w:r>
      <w:r w:rsidR="00ED0694">
        <w:rPr>
          <w:lang w:val="en-US"/>
        </w:rPr>
        <w:fldChar w:fldCharType="begin" w:fldLock="1"/>
      </w:r>
      <w:r w:rsidR="00ED0694">
        <w:rPr>
          <w:lang w:val="en-US"/>
        </w:rPr>
        <w:instrText>ADDIN CSL_CITATION {"citationItems":[{"id":"ITEM-1","itemData":{"DOI":"10.1080/1034912X.2014.905054","ISBN":"1034-912X","ISSN":"1465346X","abstract":"The challenges of social inclusion and access to the curriculum facing students with visual impairment in schools are well documented. The refreshed UK Vision Strategy (2013) seeks to improve education for students with vision impairment. In order to do this, it is important to understand how students with visual impairment experience education. This study used interpretative phenomenological analysis to examine and understand the way in which two vision-impaired students with albinism experienced inclusion and support in high school. The students, aged 16 and 15, had approximately 10% functional vision, stable from birth and had a record of additional support needs at their respective schools. They were interviewed using a simple schedule of open questions to explore their perceptions of inclusion and of using low-vision aids in school. The two main themes that emerged from the interviews were experiencing low vision in school and experiencing additional support in school. A negative cycle of inclusion was identified based on the students’ internalised feelings of difference. Discrepancy was identified between the low-vision aid priorities identified by experts and those identified by students. Recommendations are made to address these issues. (PsycINFO Database Record (c) 2014 APA, all rights reserved). (journal abstract)","author":[{"dropping-particle":"","family":"Thurston","given":"Mhairi","non-dropping-particle":"","parse-names":false,"suffix":""}],"container-title":"International Journal of Disability, Development and Education","id":"ITEM-1","issued":{"date-parts":[["2014"]]},"title":"\"They Think They Know What's Best for Me\": An Interpretative Phenomenological Analysis of the Experience of Inclusion and Support in High School for Vision-impaired Students with Albinism","type":"article-journal"},"uris":["http://www.mendeley.com/documents/?uuid=405b2f53-e5d7-407d-a410-2de82ef63baf","http://www.mendeley.com/documents/?uuid=a87fe69f-3bf9-47ae-bc62-d1fad7801ce0"]}],"mendeley":{"formattedCitation":"(Thurston, 2014)","plainTextFormattedCitation":"(Thurston, 2014)","previouslyFormattedCitation":"(Thurston, 2014)"},"properties":{"noteIndex":0},"schema":"https://github.com/citation-style-language/schema/raw/master/csl-citation.json"}</w:instrText>
      </w:r>
      <w:r w:rsidR="00ED0694">
        <w:rPr>
          <w:lang w:val="en-US"/>
        </w:rPr>
        <w:fldChar w:fldCharType="separate"/>
      </w:r>
      <w:r w:rsidR="00ED0694" w:rsidRPr="00ED0694">
        <w:rPr>
          <w:noProof/>
          <w:lang w:val="en-US"/>
        </w:rPr>
        <w:t>(Thurston, 2014)</w:t>
      </w:r>
      <w:r w:rsidR="00ED0694">
        <w:rPr>
          <w:lang w:val="en-US"/>
        </w:rPr>
        <w:fldChar w:fldCharType="end"/>
      </w:r>
      <w:r>
        <w:rPr>
          <w:lang w:val="en-US"/>
        </w:rPr>
        <w:t>.</w:t>
      </w:r>
    </w:p>
    <w:p w14:paraId="315E797B" w14:textId="684A538E" w:rsidR="00423D47" w:rsidRDefault="009B4AB3" w:rsidP="006D48B6">
      <w:pPr>
        <w:spacing w:line="480" w:lineRule="auto"/>
        <w:ind w:firstLine="720"/>
        <w:jc w:val="both"/>
        <w:rPr>
          <w:lang w:val="en-US"/>
        </w:rPr>
      </w:pPr>
      <w:r>
        <w:rPr>
          <w:lang w:val="en-US"/>
        </w:rPr>
        <w:t xml:space="preserve">The crime committed by the offender is unimaginable and would attract the highest of punishment. However, there is a need to assess the mental situation of the offender at the time he was carrying out these criminal actions. As depicted clearly in his actions and his admission he was disturbed psychological for very long while no one contemplated him. The fact that he was hearing voices in his mind which were pushing him to murder to provide a general understanding on critical changes that need to be considered in this </w:t>
      </w:r>
      <w:r w:rsidR="00407D84">
        <w:rPr>
          <w:lang w:val="en-US"/>
        </w:rPr>
        <w:t>case</w:t>
      </w:r>
      <w:r>
        <w:rPr>
          <w:lang w:val="en-US"/>
        </w:rPr>
        <w:t xml:space="preserve"> and help manage better development within the criminal justice system. </w:t>
      </w:r>
    </w:p>
    <w:p w14:paraId="187253E5" w14:textId="780F73E0" w:rsidR="00423D47" w:rsidRDefault="009B4AB3" w:rsidP="006D48B6">
      <w:pPr>
        <w:spacing w:line="480" w:lineRule="auto"/>
        <w:ind w:firstLine="720"/>
        <w:jc w:val="both"/>
        <w:rPr>
          <w:lang w:val="en-US"/>
        </w:rPr>
      </w:pPr>
      <w:r>
        <w:rPr>
          <w:lang w:val="en-US"/>
        </w:rPr>
        <w:t xml:space="preserve">The crimes committed by Kinkel warrant </w:t>
      </w:r>
      <w:r w:rsidR="00407D84">
        <w:rPr>
          <w:lang w:val="en-US"/>
        </w:rPr>
        <w:t>sentencing</w:t>
      </w:r>
      <w:r>
        <w:rPr>
          <w:lang w:val="en-US"/>
        </w:rPr>
        <w:t xml:space="preserve"> as an adult, however, the criminal justice system must investigate the issues raised so that it would be easier to understand essential elements which can be evaluated in creating a higher level of commitment. Being disturbed mentally can be evaluated based on the engagement of the services of a psychiatrist who can define key aspects on whether the juvenile offender was of sound mind.  Kip Kinkel committed the crimes and was arrested however the motive for </w:t>
      </w:r>
      <w:r w:rsidR="00782FC8">
        <w:rPr>
          <w:lang w:val="en-US"/>
        </w:rPr>
        <w:t>committing</w:t>
      </w:r>
      <w:r>
        <w:rPr>
          <w:lang w:val="en-US"/>
        </w:rPr>
        <w:t xml:space="preserve"> these atrocious crimes needs to be adequately evaluated and provide a better determination on essential concepts which can be considered in defining better outcomes</w:t>
      </w:r>
      <w:r w:rsidR="00ED0694">
        <w:rPr>
          <w:lang w:val="en-US"/>
        </w:rPr>
        <w:t xml:space="preserve"> </w:t>
      </w:r>
      <w:r w:rsidR="00ED0694">
        <w:rPr>
          <w:lang w:val="en-US"/>
        </w:rPr>
        <w:fldChar w:fldCharType="begin" w:fldLock="1"/>
      </w:r>
      <w:r w:rsidR="00ED0694">
        <w:rPr>
          <w:lang w:val="en-US"/>
        </w:rPr>
        <w:instrText>ADDIN CSL_CITATION {"citationItems":[{"id":"ITEM-1","itemData":{"DOI":"10.1080/00223891.2016.1152578","ISBN":"9780125241960","ISSN":"0022-3891","abstract":"This chapter discusses the primary legal issues facing mental health professionals. The paramount concern of such professionals is the extent of the legal boundaries and exceptions to the psychiatrist/psychologist—patient privilege. Common law imposed liability upon persons only for their acts, or misfeasance, as opposed to their failure to act, or nonfeasance, regardless of whether harm ensued from the inaction. The threshold procedural requirements for securing involuntary civil commitment vary greatly from state to state and practitioners are encouraged to refer to the local law applicable to their practice for the specific procedures and requirements. Generally, courts have been reluctant to allow third-party malpractice actions against health-care professionals on grounds that no duty of care is owed to persons other than the patient. Whether to allow third-party actions for malpractice in misdiagnosing child sexual abuse has been based primarily on public policy concerns. Very few states have addressed the issue and are divided on the existence of a duty of care to the accused third parties.","author":[{"dropping-particle":"","family":"Ryan","given":"William J.","non-dropping-particle":"","parse-names":false,"suffix":""}],"container-title":"Journal of Personality Assessment","id":"ITEM-1","issued":{"date-parts":[["2016"]]},"title":"The handbook of forensic psychology","type":"article-journal"},"uris":["http://www.mendeley.com/documents/?uuid=b32e3f31-b3cb-4182-9c3e-40c6a1737fe7","http://www.mendeley.com/documents/?uuid=0f73d619-c81e-48e7-91b2-d9a40d400910"]}],"mendeley":{"formattedCitation":"(Ryan, 2016)","plainTextFormattedCitation":"(Ryan, 2016)","previouslyFormattedCitation":"(Ryan, 2016)"},"properties":{"noteIndex":0},"schema":"https://github.com/citation-style-language/schema/raw/master/csl-citation.json"}</w:instrText>
      </w:r>
      <w:r w:rsidR="00ED0694">
        <w:rPr>
          <w:lang w:val="en-US"/>
        </w:rPr>
        <w:fldChar w:fldCharType="separate"/>
      </w:r>
      <w:r w:rsidR="00ED0694" w:rsidRPr="00ED0694">
        <w:rPr>
          <w:noProof/>
          <w:lang w:val="en-US"/>
        </w:rPr>
        <w:t>(Ryan, 2016)</w:t>
      </w:r>
      <w:r w:rsidR="00ED0694">
        <w:rPr>
          <w:lang w:val="en-US"/>
        </w:rPr>
        <w:fldChar w:fldCharType="end"/>
      </w:r>
      <w:r>
        <w:rPr>
          <w:lang w:val="en-US"/>
        </w:rPr>
        <w:t xml:space="preserve">.  </w:t>
      </w:r>
    </w:p>
    <w:p w14:paraId="62A58052" w14:textId="50792ECA" w:rsidR="008319D4" w:rsidRDefault="009B4AB3" w:rsidP="006D48B6">
      <w:pPr>
        <w:spacing w:line="480" w:lineRule="auto"/>
        <w:ind w:firstLine="720"/>
        <w:jc w:val="both"/>
        <w:rPr>
          <w:lang w:val="en-US"/>
        </w:rPr>
      </w:pPr>
      <w:r>
        <w:rPr>
          <w:lang w:val="en-US"/>
        </w:rPr>
        <w:t xml:space="preserve">Kip Kinkel had mental issues since he was a child, his parents were always busy and never considered his actions as a potential risk to the society and their wellbeing. His father necessitated his urge for violence and weapons.  Instead of providing positive support, His </w:t>
      </w:r>
      <w:r>
        <w:rPr>
          <w:lang w:val="en-US"/>
        </w:rPr>
        <w:lastRenderedPageBreak/>
        <w:t xml:space="preserve">father urged him going </w:t>
      </w:r>
      <w:r w:rsidR="00782FC8">
        <w:rPr>
          <w:lang w:val="en-US"/>
        </w:rPr>
        <w:t>forward</w:t>
      </w:r>
      <w:r>
        <w:rPr>
          <w:lang w:val="en-US"/>
        </w:rPr>
        <w:t xml:space="preserve"> with his interests in weapons by purchasing handguns for a while he was only 15 years of age. These factors need to be evaluated expertly so that it would be possible to understand the actions by Kinkel.  It is difficult to control himself considering that he is still vulnerable due to weak mental strength.  </w:t>
      </w:r>
    </w:p>
    <w:p w14:paraId="23E1F83E" w14:textId="0F6A6138" w:rsidR="00BE04AE" w:rsidRDefault="009B4AB3" w:rsidP="006D48B6">
      <w:pPr>
        <w:spacing w:line="480" w:lineRule="auto"/>
        <w:ind w:firstLine="720"/>
        <w:jc w:val="both"/>
        <w:rPr>
          <w:lang w:val="en-US"/>
        </w:rPr>
      </w:pPr>
      <w:r>
        <w:rPr>
          <w:lang w:val="en-US"/>
        </w:rPr>
        <w:t>The forensic assessment provides a greater understanding of essential aspects based on individual psychology and the overall wellbeing where it is possible to achieve higher outcomes and global development. The integration of these changes helps define better changes which help in maintaining key results.</w:t>
      </w:r>
      <w:r w:rsidRPr="00BE04AE">
        <w:rPr>
          <w:lang w:val="en-US"/>
        </w:rPr>
        <w:t xml:space="preserve"> Juveniles are young individuals who make decisions without putting much thought into their actions which in turn create significant issues limiting the overall understanding of fundamental changes which provide a strong focus on better individuals results. This means that juveniles are more likely to become law-abiding citizens as they mature and thus, they are less likely to be given long prison sentences compared to adults. Intellectual disability is also a significant factor that determines what is right or wrong. It is only an adult who can make a decision by critically evaluating the possible outcomes and understand that a given action is wrong from their analysis but go ahead to commit the mistake</w:t>
      </w:r>
      <w:r w:rsidR="00ED0694">
        <w:rPr>
          <w:lang w:val="en-US"/>
        </w:rPr>
        <w:t xml:space="preserve"> </w:t>
      </w:r>
      <w:r w:rsidR="00ED0694">
        <w:rPr>
          <w:lang w:val="en-US"/>
        </w:rPr>
        <w:fldChar w:fldCharType="begin" w:fldLock="1"/>
      </w:r>
      <w:r w:rsidR="00ED0694">
        <w:rPr>
          <w:lang w:val="en-US"/>
        </w:rPr>
        <w:instrText>ADDIN CSL_CITATION {"citationItems":[{"id":"ITEM-1","itemData":{"DOI":"10.1016/B978-0-08-097086-8.21074-X","ISBN":"9780080970875","ISSN":"1879-2669","PMID":"22381372","abstract":"Forensic psychology is the branch of psychology concerned with the production and application of psychological knowledge and principles within the legal process. Although forensic psychology is a relatively young discipline, psychology and law have been intertwined since the dawn of recorded history. Today there is hardly an area of the law where psychological expert testimony is not being implemented and there can be no doubt that forensic psychology has made significant contributions to the execution of justice. Consequently, the forensic psychologist often serves as an expert witness in court. The activities of forensic psychologists include the assessment of competency to stand trial and criminal responsibility, determining the validity of defenses (such as intoxication, amnesia, dissociative identity disorder, and post-traumatic stress disorder), predicting violent behavior, assessing eyewitness testimony and personal injury, providing testimony on appropriate sentencing, profiling, and contributing to child custody evaluations. The most important forensic assessment procedures are the forensic interview and psychological testing, while forensic hypnosis is also sometimes used. Because reliability is questioned, the polygraph is seldom employed. The status of forensic psychology can be increased by quality research, presenting objective and critical evidence, and realizing that there are areas in which the contribution of forensic psychologists is questionable.","author":[{"dropping-particle":"","family":"Louw","given":"Dap","non-dropping-particle":"","parse-names":false,"suffix":""}],"container-title":"International Encyclopedia of the Social &amp; Behavioral Sciences: Second Edition","id":"ITEM-1","issued":{"date-parts":[["2015"]]},"title":"Forensic Psychology","type":"chapter"},"uris":["http://www.mendeley.com/documents/?uuid=23f72592-3a8b-48aa-a7e2-7420958e7885","http://www.mendeley.com/documents/?uuid=57f8e321-5b66-4d78-a9d6-98c19cc6709a"]}],"mendeley":{"formattedCitation":"(Louw, 2015)","plainTextFormattedCitation":"(Louw, 2015)","previouslyFormattedCitation":"(Louw, 2015)"},"properties":{"noteIndex":0},"schema":"https://github.com/citation-style-language/schema/raw/master/csl-citation.json"}</w:instrText>
      </w:r>
      <w:r w:rsidR="00ED0694">
        <w:rPr>
          <w:lang w:val="en-US"/>
        </w:rPr>
        <w:fldChar w:fldCharType="separate"/>
      </w:r>
      <w:r w:rsidR="00ED0694" w:rsidRPr="00ED0694">
        <w:rPr>
          <w:noProof/>
          <w:lang w:val="en-US"/>
        </w:rPr>
        <w:t>(Louw, 2015)</w:t>
      </w:r>
      <w:r w:rsidR="00ED0694">
        <w:rPr>
          <w:lang w:val="en-US"/>
        </w:rPr>
        <w:fldChar w:fldCharType="end"/>
      </w:r>
      <w:r>
        <w:rPr>
          <w:lang w:val="en-US"/>
        </w:rPr>
        <w:t>.</w:t>
      </w:r>
    </w:p>
    <w:p w14:paraId="523A550E" w14:textId="4366BAE4" w:rsidR="00BE04AE" w:rsidRDefault="009B4AB3" w:rsidP="006D48B6">
      <w:pPr>
        <w:spacing w:line="480" w:lineRule="auto"/>
        <w:ind w:firstLine="720"/>
        <w:jc w:val="both"/>
        <w:rPr>
          <w:lang w:val="en-US"/>
        </w:rPr>
      </w:pPr>
      <w:r>
        <w:rPr>
          <w:lang w:val="en-US"/>
        </w:rPr>
        <w:t xml:space="preserve">Ethical concerns </w:t>
      </w:r>
    </w:p>
    <w:p w14:paraId="571C8EE0" w14:textId="7AFF3C39" w:rsidR="00BE04AE" w:rsidRDefault="009B4AB3" w:rsidP="006D48B6">
      <w:pPr>
        <w:spacing w:line="480" w:lineRule="auto"/>
        <w:ind w:firstLine="720"/>
        <w:jc w:val="both"/>
        <w:rPr>
          <w:lang w:val="en-US"/>
        </w:rPr>
      </w:pPr>
      <w:r>
        <w:rPr>
          <w:lang w:val="en-US"/>
        </w:rPr>
        <w:t xml:space="preserve">Developing a strong focus on moral concepts, in this case, provide a greater emphasis on critical elements that define positive relationships. Ethics provide a crucial focus on individual wellbeing and underlying concepts which provide a more significant commitment where it is easier to manage the underlying needs within the juvenile criminal system.  Fairness is an important aspect which provides a more significant commitment to the delivery of highly successful emphasis key changes which help define improved outcomes. There is a need to </w:t>
      </w:r>
      <w:r>
        <w:rPr>
          <w:lang w:val="en-US"/>
        </w:rPr>
        <w:lastRenderedPageBreak/>
        <w:t>understand the circumstances involved in determining the underlying factors which can be engaged and provide a high level of focus.</w:t>
      </w:r>
    </w:p>
    <w:p w14:paraId="2CB641A2" w14:textId="01B49131" w:rsidR="00697714" w:rsidRDefault="009B4AB3" w:rsidP="006D48B6">
      <w:pPr>
        <w:spacing w:line="480" w:lineRule="auto"/>
        <w:ind w:firstLine="720"/>
        <w:jc w:val="both"/>
        <w:rPr>
          <w:lang w:val="en-US"/>
        </w:rPr>
      </w:pPr>
      <w:r>
        <w:rPr>
          <w:lang w:val="en-US"/>
        </w:rPr>
        <w:t xml:space="preserve">The focus on societal values in </w:t>
      </w:r>
      <w:r w:rsidRPr="00400490">
        <w:rPr>
          <w:noProof/>
          <w:lang w:val="en-US"/>
        </w:rPr>
        <w:t>determining</w:t>
      </w:r>
      <w:r>
        <w:rPr>
          <w:lang w:val="en-US"/>
        </w:rPr>
        <w:t xml:space="preserve"> a given issue </w:t>
      </w:r>
      <w:r w:rsidRPr="00400490">
        <w:rPr>
          <w:noProof/>
          <w:lang w:val="en-US"/>
        </w:rPr>
        <w:t>provide</w:t>
      </w:r>
      <w:r w:rsidR="00400490">
        <w:rPr>
          <w:noProof/>
          <w:lang w:val="en-US"/>
        </w:rPr>
        <w:t>s</w:t>
      </w:r>
      <w:r>
        <w:rPr>
          <w:lang w:val="en-US"/>
        </w:rPr>
        <w:t xml:space="preserve"> a unique emphasis on fundamental changes which can be considered in creating a profoundly transformed understanding of critical underlying concepts. Defining a highly successful context is based on the ability to take into consideration key factors that help shape fundamental changes which influence positive development. Separating personal from professional roles in understanding the case is crucial since it is essential to understand the need to incorporate different elements which can help in maintaining a definite focus on real issues rather than focus on different elements which help define positive engagement. Maintaining a high level of professionalism is essential in defining fundamental changes which can be adequately considered to achieve better outcomes</w:t>
      </w:r>
      <w:r w:rsidR="00ED0694">
        <w:rPr>
          <w:lang w:val="en-US"/>
        </w:rPr>
        <w:t xml:space="preserve"> </w:t>
      </w:r>
      <w:r w:rsidR="00ED0694">
        <w:rPr>
          <w:lang w:val="en-US"/>
        </w:rPr>
        <w:fldChar w:fldCharType="begin" w:fldLock="1"/>
      </w:r>
      <w:r w:rsidR="00D0270A">
        <w:rPr>
          <w:lang w:val="en-US"/>
        </w:rPr>
        <w:instrText>ADDIN CSL_CITATION {"citationItems":[{"id":"ITEM-1","itemData":{"DOI":"10.1037/a0030550","ISBN":"1939-134X(Electronic);1040-3590(Print)","ISSN":"10403590","PMID":"23148649","abstract":"The Barratt Impulsivity Scale (BIS), a 30-item self-report measure, is one of the most commonly used scales for the assessment of the personality construct of impulsiveness. It has recently marked 50 years of use in research and clinical settings. The current BIS-11 is held to measure 3 theoretical subtraits, namely, attentional, motor, and non-planning impulsiveness. We evaluated the factor structure of the BIS using full information item bifactor analysis for Likert-type items. We found no evidence supporting the 3-factor model. In fact, half of the items do not share any relation with other items and do not form any factor. In light of this, we introduce a unidimensional Barratt Impulsiveness Scale-Brief (BIS-Brief) that includes 8 of the original BIS-11 items. Next, we present evidence of construct validity comparing scores obtained with the BIS-Brief against the original BIS total scores using data from (a) a community sample of borderline personality patients and normal controls, (b) a forensic sample, and (c) an inpatient sample of young adults and adolescents. We demonstrated similar indices of construct validity that is observed for the BIS-11 total score with the BIS-Brief score. Use of the BIS-Brief in clinical assessment settings and large epidemiological studies of psychiatric disorders will reduce the burden on respondents without loss of information.","author":[{"dropping-particle":"","family":"Steinberg","given":"Lynne","non-dropping-particle":"","parse-names":false,"suffix":""},{"dropping-particle":"","family":"Sharp","given":"Carla","non-dropping-particle":"","parse-names":false,"suffix":""},{"dropping-particle":"","family":"Stanford","given":"Matthew S.","non-dropping-particle":"","parse-names":false,"suffix":""},{"dropping-particle":"","family":"Tharp","given":"Andra Teten","non-dropping-particle":"","parse-names":false,"suffix":""}],"container-title":"Psychological Assessment","id":"ITEM-1","issued":{"date-parts":[["2013"]]},"title":"New tricks for an old measure: The development of the Barratt Impulsiveness Scale-Brief (BIS-Brief)","type":"article-journal"},"uris":["http://www.mendeley.com/documents/?uuid=6988be2b-3a75-4892-8040-b5fae08c62bc","http://www.mendeley.com/documents/?uuid=af6d796e-466d-4835-9f27-2e587182cbd4"]}],"mendeley":{"formattedCitation":"(Steinberg, Sharp, Stanford, &amp; Tharp, 2013)","plainTextFormattedCitation":"(Steinberg, Sharp, Stanford, &amp; Tharp, 2013)","previouslyFormattedCitation":"(Steinberg, Sharp, Stanford, &amp; Tharp, 2013)"},"properties":{"noteIndex":0},"schema":"https://github.com/citation-style-language/schema/raw/master/csl-citation.json"}</w:instrText>
      </w:r>
      <w:r w:rsidR="00ED0694">
        <w:rPr>
          <w:lang w:val="en-US"/>
        </w:rPr>
        <w:fldChar w:fldCharType="separate"/>
      </w:r>
      <w:r w:rsidR="00ED0694" w:rsidRPr="00ED0694">
        <w:rPr>
          <w:noProof/>
          <w:lang w:val="en-US"/>
        </w:rPr>
        <w:t>(Steinberg, Sharp, Stanford, &amp; Tharp, 2013)</w:t>
      </w:r>
      <w:r w:rsidR="00ED0694">
        <w:rPr>
          <w:lang w:val="en-US"/>
        </w:rPr>
        <w:fldChar w:fldCharType="end"/>
      </w:r>
      <w:r>
        <w:rPr>
          <w:lang w:val="en-US"/>
        </w:rPr>
        <w:t>.</w:t>
      </w:r>
    </w:p>
    <w:p w14:paraId="5C64A985" w14:textId="6CE0D02A" w:rsidR="00697714" w:rsidRDefault="009B4AB3" w:rsidP="006D48B6">
      <w:pPr>
        <w:spacing w:line="480" w:lineRule="auto"/>
        <w:ind w:firstLine="720"/>
        <w:jc w:val="both"/>
        <w:rPr>
          <w:lang w:val="en-US"/>
        </w:rPr>
      </w:pPr>
      <w:r>
        <w:rPr>
          <w:lang w:val="en-US"/>
        </w:rPr>
        <w:t xml:space="preserve">Conclusion </w:t>
      </w:r>
    </w:p>
    <w:p w14:paraId="079EBC4B" w14:textId="3B9789A9" w:rsidR="00697714" w:rsidRPr="00BE04AE" w:rsidRDefault="009B4AB3" w:rsidP="006D48B6">
      <w:pPr>
        <w:spacing w:line="480" w:lineRule="auto"/>
        <w:ind w:firstLine="720"/>
        <w:jc w:val="both"/>
        <w:rPr>
          <w:lang w:val="en-US"/>
        </w:rPr>
      </w:pPr>
      <w:r>
        <w:rPr>
          <w:lang w:val="en-US"/>
        </w:rPr>
        <w:t>Forensic psychologists play an integral role in determining key elements which help in defining essential changes within the social context. The focus on the juvenile case that has been evaluated in the case provides a higher level of commitment where it is easier to determine essential changes which can help integrate positive measures within a given social context. Understanding individual psychological wellbeing provide a firm commitment where it is accessible to under forensic risk factors and help improve individual thought process.</w:t>
      </w:r>
    </w:p>
    <w:p w14:paraId="5FDA2263" w14:textId="40DF9A51" w:rsidR="00BE04AE" w:rsidRDefault="00BE04AE" w:rsidP="00B20E45">
      <w:pPr>
        <w:rPr>
          <w:lang w:val="en-US"/>
        </w:rPr>
      </w:pPr>
    </w:p>
    <w:p w14:paraId="5D2FF82E" w14:textId="1450E5FD" w:rsidR="00D0270A" w:rsidRDefault="00D0270A" w:rsidP="00B20E45">
      <w:pPr>
        <w:rPr>
          <w:lang w:val="en-US"/>
        </w:rPr>
      </w:pPr>
    </w:p>
    <w:p w14:paraId="7E93D640" w14:textId="088F5010" w:rsidR="00D0270A" w:rsidRDefault="00D0270A" w:rsidP="00B20E45">
      <w:pPr>
        <w:rPr>
          <w:lang w:val="en-US"/>
        </w:rPr>
      </w:pPr>
    </w:p>
    <w:p w14:paraId="7CFF1E32" w14:textId="623660B1" w:rsidR="00D0270A" w:rsidRDefault="00D0270A" w:rsidP="00B20E45">
      <w:pPr>
        <w:rPr>
          <w:lang w:val="en-US"/>
        </w:rPr>
      </w:pPr>
    </w:p>
    <w:p w14:paraId="5B28624E" w14:textId="37503BC7" w:rsidR="00D0270A" w:rsidRDefault="00D0270A" w:rsidP="00B20E45">
      <w:pPr>
        <w:rPr>
          <w:lang w:val="en-US"/>
        </w:rPr>
      </w:pPr>
    </w:p>
    <w:p w14:paraId="1C121B49" w14:textId="7DAD78C3" w:rsidR="00D0270A" w:rsidRDefault="00D0270A" w:rsidP="00B20E45">
      <w:pPr>
        <w:rPr>
          <w:lang w:val="en-US"/>
        </w:rPr>
      </w:pPr>
    </w:p>
    <w:p w14:paraId="02FEC85B" w14:textId="69F56D86" w:rsidR="00D0270A" w:rsidRDefault="00D0270A" w:rsidP="00D0270A">
      <w:pPr>
        <w:spacing w:line="480" w:lineRule="auto"/>
        <w:jc w:val="center"/>
        <w:rPr>
          <w:lang w:val="en-US"/>
        </w:rPr>
      </w:pPr>
      <w:r>
        <w:rPr>
          <w:lang w:val="en-US"/>
        </w:rPr>
        <w:lastRenderedPageBreak/>
        <w:t>References</w:t>
      </w:r>
    </w:p>
    <w:p w14:paraId="6AAFA644" w14:textId="1BC2BF8E"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D0270A">
        <w:rPr>
          <w:rFonts w:cs="Times New Roman"/>
          <w:noProof/>
          <w:szCs w:val="24"/>
        </w:rPr>
        <w:t xml:space="preserve">Beland, L.-P., &amp; Kim, D. (2016). The Effect of High School Shootings on Schools and Student Performance. </w:t>
      </w:r>
      <w:r w:rsidRPr="00D0270A">
        <w:rPr>
          <w:rFonts w:cs="Times New Roman"/>
          <w:i/>
          <w:iCs/>
          <w:noProof/>
          <w:szCs w:val="24"/>
        </w:rPr>
        <w:t>Educational Evaluation and Policy Analysis</w:t>
      </w:r>
      <w:r w:rsidRPr="00D0270A">
        <w:rPr>
          <w:rFonts w:cs="Times New Roman"/>
          <w:noProof/>
          <w:szCs w:val="24"/>
        </w:rPr>
        <w:t>. https://doi.org/10.3102/0162373715590683</w:t>
      </w:r>
    </w:p>
    <w:p w14:paraId="6F8A81F5"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Caldwell, J. P. (2010). Demography and Life History of Two Species of Chorus Frogs (Anura: Hylidae) in South Carolina. </w:t>
      </w:r>
      <w:r w:rsidRPr="00D0270A">
        <w:rPr>
          <w:rFonts w:cs="Times New Roman"/>
          <w:i/>
          <w:iCs/>
          <w:noProof/>
          <w:szCs w:val="24"/>
        </w:rPr>
        <w:t>Copeia</w:t>
      </w:r>
      <w:r w:rsidRPr="00D0270A">
        <w:rPr>
          <w:rFonts w:cs="Times New Roman"/>
          <w:noProof/>
          <w:szCs w:val="24"/>
        </w:rPr>
        <w:t>. https://doi.org/10.2307/1446044</w:t>
      </w:r>
    </w:p>
    <w:p w14:paraId="2FA87EB4"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de Vogel, V., van den Broek, E., &amp; de Vries Robbé, M. (2014). The Use of the HCR-20V3 in Dutch Forensic Psychiatric Practice. </w:t>
      </w:r>
      <w:r w:rsidRPr="00D0270A">
        <w:rPr>
          <w:rFonts w:cs="Times New Roman"/>
          <w:i/>
          <w:iCs/>
          <w:noProof/>
          <w:szCs w:val="24"/>
        </w:rPr>
        <w:t>International Journal of Forensic Mental Health</w:t>
      </w:r>
      <w:r w:rsidRPr="00D0270A">
        <w:rPr>
          <w:rFonts w:cs="Times New Roman"/>
          <w:noProof/>
          <w:szCs w:val="24"/>
        </w:rPr>
        <w:t>. https://doi.org/10.1080/14999013.2014.906518</w:t>
      </w:r>
    </w:p>
    <w:p w14:paraId="6E118C0A"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Hogan, N. R., &amp; Olver, M. E. (2016). Assessing Risk for Aggression in Forensic Psychiatric Inpatients: An Examination of Five Measures. </w:t>
      </w:r>
      <w:r w:rsidRPr="00D0270A">
        <w:rPr>
          <w:rFonts w:cs="Times New Roman"/>
          <w:i/>
          <w:iCs/>
          <w:noProof/>
          <w:szCs w:val="24"/>
        </w:rPr>
        <w:t>Law and Human Behavior</w:t>
      </w:r>
      <w:r w:rsidRPr="00D0270A">
        <w:rPr>
          <w:rFonts w:cs="Times New Roman"/>
          <w:noProof/>
          <w:szCs w:val="24"/>
        </w:rPr>
        <w:t>. https://doi.org/10.1037/lhb0000179</w:t>
      </w:r>
    </w:p>
    <w:p w14:paraId="323654DE"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Louw, D. (2015). Forensic Psychology. In </w:t>
      </w:r>
      <w:r w:rsidRPr="00D0270A">
        <w:rPr>
          <w:rFonts w:cs="Times New Roman"/>
          <w:i/>
          <w:iCs/>
          <w:noProof/>
          <w:szCs w:val="24"/>
        </w:rPr>
        <w:t>International Encyclopedia of the Social &amp; Behavioral Sciences: Second Edition</w:t>
      </w:r>
      <w:r w:rsidRPr="00D0270A">
        <w:rPr>
          <w:rFonts w:cs="Times New Roman"/>
          <w:noProof/>
          <w:szCs w:val="24"/>
        </w:rPr>
        <w:t>. https://doi.org/10.1016/B978-0-08-097086-8.21074-X</w:t>
      </w:r>
    </w:p>
    <w:p w14:paraId="69629E97"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Ryan, W. J. (2016). The handbook of forensic psychology. </w:t>
      </w:r>
      <w:r w:rsidRPr="00D0270A">
        <w:rPr>
          <w:rFonts w:cs="Times New Roman"/>
          <w:i/>
          <w:iCs/>
          <w:noProof/>
          <w:szCs w:val="24"/>
        </w:rPr>
        <w:t>Journal of Personality Assessment</w:t>
      </w:r>
      <w:r w:rsidRPr="00D0270A">
        <w:rPr>
          <w:rFonts w:cs="Times New Roman"/>
          <w:noProof/>
          <w:szCs w:val="24"/>
        </w:rPr>
        <w:t>. https://doi.org/10.1080/00223891.2016.1152578</w:t>
      </w:r>
    </w:p>
    <w:p w14:paraId="076AEDD0"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Steinberg, L., Sharp, C., Stanford, M. S., &amp; Tharp, A. T. (2013). New tricks for an old measure: The development of the Barratt Impulsiveness Scale-Brief (BIS-Brief). </w:t>
      </w:r>
      <w:r w:rsidRPr="00D0270A">
        <w:rPr>
          <w:rFonts w:cs="Times New Roman"/>
          <w:i/>
          <w:iCs/>
          <w:noProof/>
          <w:szCs w:val="24"/>
        </w:rPr>
        <w:t>Psychological Assessment</w:t>
      </w:r>
      <w:r w:rsidRPr="00D0270A">
        <w:rPr>
          <w:rFonts w:cs="Times New Roman"/>
          <w:noProof/>
          <w:szCs w:val="24"/>
        </w:rPr>
        <w:t>. https://doi.org/10.1037/a0030550</w:t>
      </w:r>
    </w:p>
    <w:p w14:paraId="2C31E7B5"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Strahler, J., &amp; Ziegert, T. (2015). Psychobiological stress response to a simulated school shooting in police officers. </w:t>
      </w:r>
      <w:r w:rsidRPr="00D0270A">
        <w:rPr>
          <w:rFonts w:cs="Times New Roman"/>
          <w:i/>
          <w:iCs/>
          <w:noProof/>
          <w:szCs w:val="24"/>
        </w:rPr>
        <w:t>Psychoneuroendocrinology</w:t>
      </w:r>
      <w:r w:rsidRPr="00D0270A">
        <w:rPr>
          <w:rFonts w:cs="Times New Roman"/>
          <w:noProof/>
          <w:szCs w:val="24"/>
        </w:rPr>
        <w:t>. https://doi.org/10.1016/j.psyneuen.2014.09.016</w:t>
      </w:r>
    </w:p>
    <w:p w14:paraId="1192C580"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lastRenderedPageBreak/>
        <w:t xml:space="preserve">Thurston, M. (2014). “They Think They Know What’s Best for Me”: An Interpretative Phenomenological Analysis of the Experience of Inclusion and Support in High School for Vision-impaired Students with Albinism. </w:t>
      </w:r>
      <w:r w:rsidRPr="00D0270A">
        <w:rPr>
          <w:rFonts w:cs="Times New Roman"/>
          <w:i/>
          <w:iCs/>
          <w:noProof/>
          <w:szCs w:val="24"/>
        </w:rPr>
        <w:t xml:space="preserve">International Journal of Disability, Development </w:t>
      </w:r>
      <w:r w:rsidRPr="00400490">
        <w:rPr>
          <w:rFonts w:cs="Times New Roman"/>
          <w:i/>
          <w:iCs/>
          <w:noProof/>
          <w:szCs w:val="24"/>
        </w:rPr>
        <w:t>and</w:t>
      </w:r>
      <w:r w:rsidRPr="00D0270A">
        <w:rPr>
          <w:rFonts w:cs="Times New Roman"/>
          <w:i/>
          <w:iCs/>
          <w:noProof/>
          <w:szCs w:val="24"/>
        </w:rPr>
        <w:t xml:space="preserve"> Education</w:t>
      </w:r>
      <w:r w:rsidRPr="00D0270A">
        <w:rPr>
          <w:rFonts w:cs="Times New Roman"/>
          <w:noProof/>
          <w:szCs w:val="24"/>
        </w:rPr>
        <w:t>. https://doi.org/10.1080/1034912X.2014.905054</w:t>
      </w:r>
    </w:p>
    <w:p w14:paraId="46AF8290" w14:textId="77777777" w:rsidR="00D0270A" w:rsidRPr="00D0270A" w:rsidRDefault="00D0270A" w:rsidP="00D0270A">
      <w:pPr>
        <w:widowControl w:val="0"/>
        <w:autoSpaceDE w:val="0"/>
        <w:autoSpaceDN w:val="0"/>
        <w:adjustRightInd w:val="0"/>
        <w:spacing w:line="480" w:lineRule="auto"/>
        <w:ind w:left="480" w:hanging="480"/>
        <w:rPr>
          <w:rFonts w:cs="Times New Roman"/>
          <w:noProof/>
          <w:szCs w:val="24"/>
        </w:rPr>
      </w:pPr>
      <w:r w:rsidRPr="00D0270A">
        <w:rPr>
          <w:rFonts w:cs="Times New Roman"/>
          <w:noProof/>
          <w:szCs w:val="24"/>
        </w:rPr>
        <w:t xml:space="preserve">Wang, V. H., Wilson White, J., Arnott, S. A., &amp; Scharf, F. S. (2018). Population connectivity of southern flounder in the US South Atlantic revealed by otolith chemical analysis. </w:t>
      </w:r>
      <w:r w:rsidRPr="00D0270A">
        <w:rPr>
          <w:rFonts w:cs="Times New Roman"/>
          <w:i/>
          <w:iCs/>
          <w:noProof/>
          <w:szCs w:val="24"/>
        </w:rPr>
        <w:t>Marine Ecology Progress Series</w:t>
      </w:r>
      <w:r w:rsidRPr="00D0270A">
        <w:rPr>
          <w:rFonts w:cs="Times New Roman"/>
          <w:noProof/>
          <w:szCs w:val="24"/>
        </w:rPr>
        <w:t>. https://doi.org/10.3354/meps12576</w:t>
      </w:r>
    </w:p>
    <w:p w14:paraId="56309797" w14:textId="77777777" w:rsidR="00D0270A" w:rsidRPr="00D0270A" w:rsidRDefault="00D0270A" w:rsidP="00D0270A">
      <w:pPr>
        <w:widowControl w:val="0"/>
        <w:autoSpaceDE w:val="0"/>
        <w:autoSpaceDN w:val="0"/>
        <w:adjustRightInd w:val="0"/>
        <w:spacing w:line="480" w:lineRule="auto"/>
        <w:ind w:left="480" w:hanging="480"/>
        <w:rPr>
          <w:rFonts w:cs="Times New Roman"/>
          <w:noProof/>
        </w:rPr>
      </w:pPr>
      <w:r w:rsidRPr="00D0270A">
        <w:rPr>
          <w:rFonts w:cs="Times New Roman"/>
          <w:noProof/>
          <w:szCs w:val="24"/>
        </w:rPr>
        <w:t xml:space="preserve">Wilhelm, R. (2013). </w:t>
      </w:r>
      <w:r w:rsidRPr="00D0270A">
        <w:rPr>
          <w:rFonts w:cs="Times New Roman"/>
          <w:i/>
          <w:iCs/>
          <w:noProof/>
          <w:szCs w:val="24"/>
        </w:rPr>
        <w:t>Confucius and Confucianism</w:t>
      </w:r>
      <w:r w:rsidRPr="00D0270A">
        <w:rPr>
          <w:rFonts w:cs="Times New Roman"/>
          <w:noProof/>
          <w:szCs w:val="24"/>
        </w:rPr>
        <w:t xml:space="preserve">. </w:t>
      </w:r>
      <w:r w:rsidRPr="00D0270A">
        <w:rPr>
          <w:rFonts w:cs="Times New Roman"/>
          <w:i/>
          <w:iCs/>
          <w:noProof/>
          <w:szCs w:val="24"/>
        </w:rPr>
        <w:t>Confucius and Confucianism</w:t>
      </w:r>
      <w:r w:rsidRPr="00D0270A">
        <w:rPr>
          <w:rFonts w:cs="Times New Roman"/>
          <w:noProof/>
          <w:szCs w:val="24"/>
        </w:rPr>
        <w:t>. https://doi.org/10.4324/9781315018973</w:t>
      </w:r>
    </w:p>
    <w:p w14:paraId="60702C78" w14:textId="737CF4A8" w:rsidR="00D0270A" w:rsidRDefault="00D0270A" w:rsidP="00D0270A">
      <w:pPr>
        <w:spacing w:line="480" w:lineRule="auto"/>
        <w:rPr>
          <w:lang w:val="en-US"/>
        </w:rPr>
      </w:pPr>
      <w:r>
        <w:rPr>
          <w:lang w:val="en-US"/>
        </w:rPr>
        <w:fldChar w:fldCharType="end"/>
      </w:r>
    </w:p>
    <w:p w14:paraId="549FF01D" w14:textId="16CB6E11" w:rsidR="00B20E45" w:rsidRDefault="00B20E45" w:rsidP="00D0270A">
      <w:pPr>
        <w:spacing w:line="480" w:lineRule="auto"/>
        <w:rPr>
          <w:lang w:val="en-US"/>
        </w:rPr>
      </w:pPr>
    </w:p>
    <w:p w14:paraId="75EEB6E5" w14:textId="77777777" w:rsidR="00B20E45" w:rsidRPr="009F3006" w:rsidRDefault="00B20E45" w:rsidP="00D0270A">
      <w:pPr>
        <w:spacing w:line="480" w:lineRule="auto"/>
        <w:rPr>
          <w:lang w:val="en-US"/>
        </w:rPr>
      </w:pPr>
    </w:p>
    <w:sectPr w:rsidR="00B20E45" w:rsidRPr="009F3006" w:rsidSect="001C6DCD">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AE710" w14:textId="77777777" w:rsidR="002D43DD" w:rsidRDefault="002D43DD">
      <w:pPr>
        <w:spacing w:after="0" w:line="240" w:lineRule="auto"/>
      </w:pPr>
      <w:r>
        <w:separator/>
      </w:r>
    </w:p>
  </w:endnote>
  <w:endnote w:type="continuationSeparator" w:id="0">
    <w:p w14:paraId="2D811983" w14:textId="77777777" w:rsidR="002D43DD" w:rsidRDefault="002D4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E7093" w14:textId="77777777" w:rsidR="002D43DD" w:rsidRDefault="002D43DD">
      <w:pPr>
        <w:spacing w:after="0" w:line="240" w:lineRule="auto"/>
      </w:pPr>
      <w:r>
        <w:separator/>
      </w:r>
    </w:p>
  </w:footnote>
  <w:footnote w:type="continuationSeparator" w:id="0">
    <w:p w14:paraId="68A5700C" w14:textId="77777777" w:rsidR="002D43DD" w:rsidRDefault="002D4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37233" w14:textId="269DFD43" w:rsidR="00235E7A" w:rsidRDefault="009B4AB3">
    <w:pPr>
      <w:pStyle w:val="Header"/>
      <w:jc w:val="right"/>
    </w:pPr>
    <w:r>
      <w:rPr>
        <w:lang w:val="en-US"/>
      </w:rPr>
      <w:t xml:space="preserve">Running head: KIP KINKEL FORENSIC RISK ASSESSMENT                                           </w:t>
    </w:r>
    <w:sdt>
      <w:sdtPr>
        <w:id w:val="-4103982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685ABBA" w14:textId="77777777" w:rsidR="00235E7A" w:rsidRDefault="00235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19D9"/>
    <w:multiLevelType w:val="multilevel"/>
    <w:tmpl w:val="7E64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2139C"/>
    <w:multiLevelType w:val="multilevel"/>
    <w:tmpl w:val="F57C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81326D"/>
    <w:multiLevelType w:val="multilevel"/>
    <w:tmpl w:val="908E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833C46"/>
    <w:multiLevelType w:val="multilevel"/>
    <w:tmpl w:val="313A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A5407"/>
    <w:multiLevelType w:val="multilevel"/>
    <w:tmpl w:val="B6102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A74E5D"/>
    <w:multiLevelType w:val="multilevel"/>
    <w:tmpl w:val="11762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YwNDY2NDIxMTAytjBW0lEKTi0uzszPAykwrAUAOymR3CwAAAA="/>
  </w:docVars>
  <w:rsids>
    <w:rsidRoot w:val="009F3006"/>
    <w:rsid w:val="000A6111"/>
    <w:rsid w:val="001C6DCD"/>
    <w:rsid w:val="00235E7A"/>
    <w:rsid w:val="00264FA1"/>
    <w:rsid w:val="002D43DD"/>
    <w:rsid w:val="003A6703"/>
    <w:rsid w:val="00400490"/>
    <w:rsid w:val="00407D84"/>
    <w:rsid w:val="00423D47"/>
    <w:rsid w:val="00452D83"/>
    <w:rsid w:val="00501A49"/>
    <w:rsid w:val="00676570"/>
    <w:rsid w:val="00697714"/>
    <w:rsid w:val="006D48B6"/>
    <w:rsid w:val="0070381F"/>
    <w:rsid w:val="00782FC8"/>
    <w:rsid w:val="008319D4"/>
    <w:rsid w:val="009638AA"/>
    <w:rsid w:val="00970993"/>
    <w:rsid w:val="0097635B"/>
    <w:rsid w:val="009B4AB3"/>
    <w:rsid w:val="009F3006"/>
    <w:rsid w:val="00A067E9"/>
    <w:rsid w:val="00B20E45"/>
    <w:rsid w:val="00B2793A"/>
    <w:rsid w:val="00B63129"/>
    <w:rsid w:val="00BE04AE"/>
    <w:rsid w:val="00C70863"/>
    <w:rsid w:val="00D0270A"/>
    <w:rsid w:val="00D24496"/>
    <w:rsid w:val="00D90BE3"/>
    <w:rsid w:val="00EC3FC7"/>
    <w:rsid w:val="00ED0694"/>
    <w:rsid w:val="00F01E4F"/>
    <w:rsid w:val="00F61B9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2640B"/>
  <w15:chartTrackingRefBased/>
  <w15:docId w15:val="{A1FCF76C-68AE-42AB-AABB-1DE32CE01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635B"/>
    <w:rPr>
      <w:color w:val="0563C1" w:themeColor="hyperlink"/>
      <w:u w:val="single"/>
    </w:rPr>
  </w:style>
  <w:style w:type="character" w:customStyle="1" w:styleId="UnresolvedMention1">
    <w:name w:val="Unresolved Mention1"/>
    <w:basedOn w:val="DefaultParagraphFont"/>
    <w:uiPriority w:val="99"/>
    <w:semiHidden/>
    <w:unhideWhenUsed/>
    <w:rsid w:val="0097635B"/>
    <w:rPr>
      <w:color w:val="605E5C"/>
      <w:shd w:val="clear" w:color="auto" w:fill="E1DFDD"/>
    </w:rPr>
  </w:style>
  <w:style w:type="paragraph" w:styleId="Header">
    <w:name w:val="header"/>
    <w:basedOn w:val="Normal"/>
    <w:link w:val="HeaderChar"/>
    <w:uiPriority w:val="99"/>
    <w:unhideWhenUsed/>
    <w:rsid w:val="001C6D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6DCD"/>
  </w:style>
  <w:style w:type="paragraph" w:styleId="Footer">
    <w:name w:val="footer"/>
    <w:basedOn w:val="Normal"/>
    <w:link w:val="FooterChar"/>
    <w:uiPriority w:val="99"/>
    <w:unhideWhenUsed/>
    <w:rsid w:val="001C6D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6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9D264-FB34-4528-8274-0169FE68F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7009</Words>
  <Characters>39955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2019-02-05T04:12:00Z</dcterms:created>
  <dcterms:modified xsi:type="dcterms:W3CDTF">2019-02-05T04:12:00Z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